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Приложение 1 к Документации о закупке</w:t>
      </w:r>
      <w:r>
        <w:rPr>
          <w:b/>
          <w:bCs/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fldSimple w:instr="PAGE \* MERGEFORMAT">
        <w:r>
          <w:rPr>
            <w:sz w:val="26"/>
            <w:szCs w:val="26"/>
          </w:rPr>
          <w:t xml:space="preserve">1</w:t>
        </w:r>
      </w:fldSimple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оказание услуг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rPr>
          <w:b w:val="0"/>
          <w:bCs w:val="0"/>
          <w:iCs w:val="0"/>
        </w:rPr>
      </w:pPr>
      <w:r>
        <w:rPr>
          <w:rFonts w:eastAsia="Calibri"/>
          <w:b w:val="0"/>
          <w:bCs w:val="0"/>
          <w:i/>
          <w:iCs/>
          <w:sz w:val="26"/>
          <w:szCs w:val="26"/>
          <w:highlight w:val="white"/>
        </w:rPr>
        <w:t xml:space="preserve">«</w:t>
      </w:r>
      <w:r>
        <w:rPr>
          <w:rFonts w:eastAsia="Calibri"/>
          <w:b w:val="0"/>
          <w:bCs w:val="0"/>
          <w:i/>
          <w:iCs/>
          <w:sz w:val="26"/>
          <w:szCs w:val="26"/>
          <w:highlight w:val="white"/>
        </w:rPr>
        <w:t xml:space="preserve">ОКПД2 38.22.19.000 Оказание услуг по вывозу и утилизации опасных отходов для Хабаровской ТЭЦ-1, г. Хабаровск</w:t>
      </w:r>
      <w:r>
        <w:rPr>
          <w:rStyle w:val="1135"/>
          <w:b w:val="0"/>
          <w:bCs w:val="0"/>
          <w:i/>
          <w:iCs/>
          <w:sz w:val="26"/>
          <w:szCs w:val="26"/>
          <w:highlight w:val="white"/>
          <w:vertAlign w:val="baseline"/>
        </w:rPr>
        <w:t xml:space="preserve">»</w:t>
      </w:r>
      <w:r>
        <w:rPr>
          <w:b w:val="0"/>
          <w:bCs w:val="0"/>
          <w:iCs w:val="0"/>
        </w:rPr>
      </w:r>
      <w:r>
        <w:rPr>
          <w:b w:val="0"/>
          <w:bCs w:val="0"/>
          <w:iCs w:val="0"/>
        </w:rPr>
      </w:r>
    </w:p>
    <w:p>
      <w:pPr>
        <w:jc w:val="center"/>
        <w:rPr>
          <w:rStyle w:val="1135"/>
          <w:b/>
          <w:bCs/>
          <w:i/>
          <w:sz w:val="26"/>
          <w:szCs w:val="26"/>
          <w:highlight w:val="white"/>
          <w:vertAlign w:val="baseline"/>
        </w:rPr>
      </w:pPr>
      <w:r>
        <w:rPr>
          <w:rStyle w:val="1135"/>
          <w:b/>
          <w:bCs/>
          <w:i/>
          <w:sz w:val="26"/>
          <w:szCs w:val="26"/>
          <w:highlight w:val="white"/>
          <w:vertAlign w:val="baseline"/>
        </w:rPr>
      </w:r>
      <w:r>
        <w:rPr>
          <w:rStyle w:val="1135"/>
          <w:b/>
          <w:bCs/>
          <w:i/>
          <w:sz w:val="26"/>
          <w:szCs w:val="26"/>
          <w:highlight w:val="white"/>
          <w:vertAlign w:val="baseline"/>
        </w:rPr>
      </w:r>
      <w:r>
        <w:rPr>
          <w:rStyle w:val="1135"/>
          <w:b/>
          <w:bCs/>
          <w:i/>
          <w:sz w:val="26"/>
          <w:szCs w:val="26"/>
          <w:highlight w:val="white"/>
          <w:vertAlign w:val="baseline"/>
        </w:rPr>
      </w:r>
    </w:p>
    <w:p>
      <w:pPr>
        <w:jc w:val="center"/>
        <w:rPr>
          <w:rStyle w:val="1135"/>
          <w:b/>
          <w:bCs/>
          <w:i/>
          <w:sz w:val="26"/>
          <w:szCs w:val="26"/>
          <w:highlight w:val="white"/>
          <w:vertAlign w:val="baseline"/>
        </w:rPr>
      </w:pPr>
      <w:r>
        <w:rPr>
          <w:rStyle w:val="1135"/>
          <w:b/>
          <w:bCs/>
          <w:i/>
          <w:iCs w:val="0"/>
          <w:sz w:val="26"/>
          <w:szCs w:val="26"/>
          <w:highlight w:val="white"/>
          <w:vertAlign w:val="baseline"/>
        </w:rPr>
      </w:r>
      <w:r>
        <w:rPr>
          <w:rStyle w:val="1135"/>
          <w:b/>
          <w:bCs/>
          <w:i/>
          <w:iCs w:val="0"/>
          <w:sz w:val="26"/>
          <w:szCs w:val="26"/>
          <w:highlight w:val="white"/>
          <w:vertAlign w:val="baseline"/>
        </w:rPr>
        <w:t xml:space="preserve">Лот № 41020024-ЭКСП ОРГ-2026-ДГК-ХТЭЦ1</w:t>
      </w:r>
      <w:r>
        <w:rPr>
          <w:rStyle w:val="1135"/>
          <w:b/>
          <w:bCs/>
          <w:i/>
          <w:sz w:val="26"/>
          <w:szCs w:val="26"/>
          <w:highlight w:val="white"/>
          <w:vertAlign w:val="baseline"/>
        </w:rPr>
      </w:r>
      <w:r>
        <w:rPr>
          <w:rStyle w:val="1135"/>
          <w:b/>
          <w:bCs/>
          <w:i/>
          <w:sz w:val="26"/>
          <w:szCs w:val="26"/>
          <w:highlight w:val="white"/>
          <w:vertAlign w:val="baseline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  <w:highlight w:val="white"/>
          <w:vertAlign w:val="baseline"/>
        </w:rPr>
      </w:pPr>
      <w:r>
        <w:rPr>
          <w:rFonts w:eastAsia="Calibri"/>
          <w:b/>
          <w:sz w:val="26"/>
          <w:szCs w:val="26"/>
          <w:highlight w:val="white"/>
          <w:vertAlign w:val="baseline"/>
        </w:rPr>
        <w:t xml:space="preserve"> </w:t>
      </w:r>
      <w:r>
        <w:rPr>
          <w:rFonts w:eastAsia="Calibri"/>
          <w:b/>
          <w:i/>
          <w:sz w:val="26"/>
          <w:szCs w:val="26"/>
          <w:highlight w:val="white"/>
          <w:vertAlign w:val="baseline"/>
        </w:rPr>
      </w:r>
      <w:r>
        <w:rPr>
          <w:rFonts w:eastAsia="Calibri"/>
          <w:b/>
          <w:i/>
          <w:sz w:val="26"/>
          <w:szCs w:val="26"/>
          <w:highlight w:val="white"/>
          <w:vertAlign w:val="baseline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  <w:t xml:space="preserve">СОДЕРЖАНИЕ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072"/>
        <w:tabs>
          <w:tab w:val="left" w:pos="567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b/>
          <w:bCs/>
          <w:i/>
          <w:color w:val="ff0000"/>
          <w:sz w:val="24"/>
          <w:szCs w:val="24"/>
        </w:rPr>
      </w:r>
      <w:hyperlink w:tooltip="#_Toc1" w:anchor="_Toc1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Общие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требования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/>
      <w:hyperlink w:tooltip="#_Toc2" w:anchor="_Toc2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Наименование закупаемой продукции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/>
      <w:hyperlink w:tooltip="#_Toc3" w:anchor="_Toc3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Цель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оказания услуг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Style w:val="1135"/>
          <w:rFonts w:ascii="Times New Roman" w:hAnsi="Times New Roman" w:cs="Times New Roman"/>
          <w:sz w:val="24"/>
          <w:szCs w:val="24"/>
          <w:highlight w:val="white"/>
        </w:rPr>
      </w:pPr>
      <w:r/>
      <w:hyperlink w:tooltip="#_Toc4" w:anchor="_Toc4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i w:val="0"/>
            <w:iCs w:val="0"/>
            <w:sz w:val="24"/>
            <w:szCs w:val="24"/>
            <w:highlight w:val="white"/>
            <w:lang w:val="ru-RU"/>
          </w:rPr>
          <w:t xml:space="preserve">Общие сведения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3</w:t>
          <w:fldChar w:fldCharType="end"/>
        </w:r>
      </w:hyperlink>
      <w:r>
        <w:rPr>
          <w:rStyle w:val="1135"/>
          <w:rFonts w:ascii="Times New Roman" w:hAnsi="Times New Roman" w:cs="Times New Roman"/>
          <w:sz w:val="24"/>
          <w:szCs w:val="24"/>
          <w:highlight w:val="white"/>
        </w:rPr>
      </w:r>
      <w:r>
        <w:rPr>
          <w:rStyle w:val="1135"/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Style w:val="1135"/>
          <w:rFonts w:ascii="Times New Roman" w:hAnsi="Times New Roman" w:cs="Times New Roman"/>
          <w:sz w:val="24"/>
          <w:szCs w:val="24"/>
          <w:highlight w:val="white"/>
        </w:rPr>
      </w:pPr>
      <w:r/>
      <w:hyperlink w:tooltip="#_Toc5" w:anchor="_Toc5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Существующее положение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3</w:t>
          <w:fldChar w:fldCharType="end"/>
        </w:r>
      </w:hyperlink>
      <w:r>
        <w:rPr>
          <w:rStyle w:val="1135"/>
          <w:rFonts w:ascii="Times New Roman" w:hAnsi="Times New Roman" w:cs="Times New Roman"/>
          <w:sz w:val="24"/>
          <w:szCs w:val="24"/>
          <w:highlight w:val="white"/>
        </w:rPr>
      </w:r>
      <w:r>
        <w:rPr>
          <w:rStyle w:val="1135"/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:highlight w:val="none"/>
        </w:rPr>
      </w:pPr>
      <w:r/>
      <w:hyperlink w:tooltip="#_Toc6" w:anchor="_Toc6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Информация в отношении исполнения договора,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которая должна быть учтена при подготовке заявки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(в том числе перечень ресурсов, услуг и документов, предоставляемых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заказчиком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 на этапе исполнения договора)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73"/>
        <w:tabs>
          <w:tab w:val="left" w:pos="1134" w:leader="none"/>
          <w:tab w:val="right" w:pos="9911" w:leader="dot"/>
        </w:tabs>
        <w:rPr>
          <w:rFonts w:ascii="Times New Roman" w:hAnsi="Times New Roman" w:cs="Times New Roman"/>
          <w:iCs/>
          <w:sz w:val="24"/>
          <w:szCs w:val="24"/>
          <w:highlight w:val="none"/>
        </w:rPr>
      </w:pPr>
      <w:r/>
      <w:hyperlink w:tooltip="#_Toc7" w:anchor="_Toc7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1.5.1.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Информация о допуске персонала подрядных организаций </w:t>
        </w:r>
        <w:r>
          <w:rPr>
            <w:rStyle w:val="1074"/>
            <w:rFonts w:ascii="Times New Roman" w:hAnsi="Times New Roman" w:eastAsia="Times New Roman" w:cs="Times New Roman"/>
            <w:iCs/>
            <w:sz w:val="24"/>
            <w:szCs w:val="24"/>
            <w:highlight w:val="non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iCs/>
          <w:sz w:val="24"/>
          <w:szCs w:val="24"/>
          <w:highlight w:val="none"/>
        </w:rPr>
      </w:r>
    </w:p>
    <w:p>
      <w:pPr>
        <w:pStyle w:val="1073"/>
        <w:tabs>
          <w:tab w:val="left" w:pos="1134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:highlight w:val="none"/>
        </w:rPr>
      </w:pPr>
      <w:r/>
      <w:hyperlink w:tooltip="#_Toc8" w:anchor="_Toc8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1.5.2.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Информация об имеющимся оборудовании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73"/>
        <w:tabs>
          <w:tab w:val="left" w:pos="1134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/>
      <w:hyperlink w:tooltip="#_Toc9" w:anchor="_Toc9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1.5.3.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Информация для подбора спецтехники необходимой для транспортирования отходов с территории предприятия: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  <w14:ligatures w14:val="non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1072"/>
        <w:tabs>
          <w:tab w:val="left" w:pos="567" w:leader="none"/>
          <w:tab w:val="right" w:pos="9911" w:leader="dot"/>
        </w:tabs>
        <w:rPr>
          <w:rFonts w:ascii="Times New Roman" w:hAnsi="Times New Roman" w:cs="Times New Roman"/>
          <w:iCs/>
          <w:caps/>
          <w:sz w:val="24"/>
          <w:szCs w:val="24"/>
        </w:rPr>
        <w:suppressLineNumbers w:val="0"/>
      </w:pPr>
      <w:r/>
      <w:hyperlink w:tooltip="#_Toc10" w:anchor="_Toc10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iCs/>
            <w:sz w:val="24"/>
            <w:szCs w:val="24"/>
          </w:rPr>
          <w:t xml:space="preserve">Требования</w:t>
        </w:r>
        <w:r>
          <w:rPr>
            <w:rStyle w:val="1074"/>
            <w:rFonts w:ascii="Times New Roman" w:hAnsi="Times New Roman" w:eastAsia="Times New Roman" w:cs="Times New Roman"/>
            <w:iCs/>
            <w:sz w:val="24"/>
            <w:szCs w:val="24"/>
          </w:rPr>
          <w:t xml:space="preserve"> к продукции</w:t>
        </w:r>
        <w:r>
          <w:rPr>
            <w:rStyle w:val="1074"/>
            <w:rFonts w:ascii="Times New Roman" w:hAnsi="Times New Roman" w:eastAsia="Times New Roman" w:cs="Times New Roman"/>
            <w:iCs/>
            <w:caps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iCs/>
          <w:caps/>
          <w:sz w:val="24"/>
          <w:szCs w:val="24"/>
        </w:rPr>
      </w:r>
      <w:r>
        <w:rPr>
          <w:rFonts w:ascii="Times New Roman" w:hAnsi="Times New Roman" w:cs="Times New Roman"/>
          <w:iCs/>
          <w:caps/>
          <w:sz w:val="24"/>
          <w:szCs w:val="24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/>
      <w:hyperlink w:tooltip="#_Toc11" w:anchor="_Toc11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Требования к объемам и срокам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оказания услуг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tabs>
          <w:tab w:val="left" w:pos="1134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/>
      <w:hyperlink w:tooltip="#_Toc12" w:anchor="_Toc12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2.1.1.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Требования к перечню и объему услуг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3"/>
        <w:tabs>
          <w:tab w:val="left" w:pos="1134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  <w:highlight w:val="white"/>
        </w:rPr>
      </w:pPr>
      <w:r/>
      <w:hyperlink w:tooltip="#_Toc13" w:anchor="_Toc13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2.1.2.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Требования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white"/>
          </w:rPr>
          <w:t xml:space="preserve">к срокам оказания услуг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whit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7"/>
        <w:tabs>
          <w:tab w:val="left" w:pos="850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/>
      <w:hyperlink w:tooltip="#_Toc14" w:anchor="_Toc14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2.2.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Требования к 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качеству услуг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6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2"/>
        <w:tabs>
          <w:tab w:val="left" w:pos="567" w:leader="none"/>
          <w:tab w:val="right" w:pos="9911" w:leader="dot"/>
        </w:tabs>
        <w:rPr>
          <w:rFonts w:ascii="Times New Roman" w:hAnsi="Times New Roman" w:cs="Times New Roman"/>
          <w:caps/>
          <w:sz w:val="24"/>
          <w:szCs w:val="24"/>
          <w:highlight w:val="none"/>
        </w:rPr>
        <w:suppressLineNumbers w:val="0"/>
      </w:pPr>
      <w:r/>
      <w:hyperlink w:tooltip="#_Toc15" w:anchor="_Toc15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3.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  <w:highlight w:val="none"/>
          </w:rPr>
          <w:t xml:space="preserve">Требования к ценообразованию на этапе закупки</w:t>
        </w:r>
        <w:r>
          <w:rPr>
            <w:rStyle w:val="1074"/>
            <w:rFonts w:ascii="Times New Roman" w:hAnsi="Times New Roman" w:eastAsia="Times New Roman" w:cs="Times New Roman"/>
            <w:caps/>
            <w:sz w:val="24"/>
            <w:szCs w:val="24"/>
            <w:highlight w:val="none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caps/>
          <w:sz w:val="24"/>
          <w:szCs w:val="24"/>
          <w:highlight w:val="none"/>
        </w:rPr>
      </w:r>
    </w:p>
    <w:p>
      <w:pPr>
        <w:pStyle w:val="1072"/>
        <w:tabs>
          <w:tab w:val="left" w:pos="567" w:leader="none"/>
          <w:tab w:val="right" w:pos="9911" w:leader="dot"/>
        </w:tabs>
        <w:rPr>
          <w:rFonts w:ascii="Times New Roman" w:hAnsi="Times New Roman" w:cs="Times New Roman"/>
          <w:sz w:val="24"/>
          <w:szCs w:val="24"/>
        </w:rPr>
      </w:pPr>
      <w:r/>
      <w:hyperlink w:tooltip="#_Toc16" w:anchor="_Toc16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4.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11</w:t>
          <w:fldChar w:fldCharType="end"/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2"/>
        <w:tabs>
          <w:tab w:val="left" w:pos="567" w:leader="none"/>
          <w:tab w:val="right" w:pos="9911" w:leader="dot"/>
        </w:tabs>
        <w:rPr>
          <w:rFonts w:ascii="Times New Roman" w:hAnsi="Times New Roman" w:cs="Times New Roman"/>
          <w:iCs/>
          <w:caps/>
          <w:sz w:val="24"/>
          <w:szCs w:val="24"/>
        </w:rPr>
        <w:suppressLineNumbers w:val="0"/>
      </w:pPr>
      <w:r/>
      <w:hyperlink w:tooltip="#_Toc17" w:anchor="_Toc17" w:history="1">
        <w:r>
          <w:rPr>
            <w:rFonts w:ascii="Times New Roman" w:hAnsi="Times New Roman" w:eastAsia="Times New Roman" w:cs="Times New Roman"/>
            <w:sz w:val="24"/>
            <w:szCs w:val="24"/>
          </w:rPr>
          <w:t xml:space="preserve">5.</w:t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Style w:val="1074"/>
            <w:rFonts w:ascii="Times New Roman" w:hAnsi="Times New Roman" w:eastAsia="Times New Roman" w:cs="Times New Roman"/>
            <w:sz w:val="24"/>
            <w:szCs w:val="24"/>
          </w:rPr>
        </w:r>
        <w:r>
          <w:rPr>
            <w:rStyle w:val="1074"/>
            <w:rFonts w:ascii="Times New Roman" w:hAnsi="Times New Roman" w:eastAsia="Times New Roman" w:cs="Times New Roman"/>
            <w:iCs/>
            <w:sz w:val="24"/>
            <w:szCs w:val="24"/>
          </w:rPr>
          <w:t xml:space="preserve">Приложения</w:t>
        </w:r>
        <w:r>
          <w:rPr>
            <w:rStyle w:val="1074"/>
            <w:rFonts w:ascii="Times New Roman" w:hAnsi="Times New Roman" w:eastAsia="Times New Roman" w:cs="Times New Roman"/>
            <w:iCs/>
            <w:caps/>
            <w:sz w:val="24"/>
            <w:szCs w:val="24"/>
          </w:rPr>
        </w:r>
        <w:r>
          <w:rPr>
            <w:rFonts w:ascii="Times New Roman" w:hAnsi="Times New Roman" w:eastAsia="Times New Roman" w:cs="Times New Roman"/>
            <w:sz w:val="24"/>
            <w:szCs w:val="24"/>
          </w:rPr>
          <w:tab/>
        </w:r>
        <w:r>
          <w:rPr>
            <w:rFonts w:ascii="Times New Roman" w:hAnsi="Times New Roman" w:eastAsia="Times New Roman" w:cs="Times New Roman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12</w:t>
          <w:fldChar w:fldCharType="end"/>
        </w:r>
      </w:hyperlink>
      <w:r>
        <w:rPr>
          <w:rFonts w:ascii="Times New Roman" w:hAnsi="Times New Roman" w:cs="Times New Roman"/>
          <w:iCs/>
          <w:caps/>
          <w:sz w:val="24"/>
          <w:szCs w:val="24"/>
        </w:rPr>
      </w:r>
      <w:r>
        <w:rPr>
          <w:rFonts w:ascii="Times New Roman" w:hAnsi="Times New Roman" w:cs="Times New Roman"/>
          <w:iCs/>
          <w:caps/>
          <w:sz w:val="24"/>
          <w:szCs w:val="24"/>
        </w:rPr>
      </w:r>
    </w:p>
    <w:p>
      <w:pPr>
        <w:pStyle w:val="894"/>
        <w:numPr>
          <w:ilvl w:val="0"/>
          <w:numId w:val="0"/>
        </w:numPr>
        <w:contextualSpacing/>
        <w:jc w:val="left"/>
        <w:spacing w:line="240" w:lineRule="auto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93"/>
        <w:contextualSpacing/>
        <w:ind w:left="0" w:firstLine="0"/>
        <w:jc w:val="left"/>
        <w:spacing w:before="0" w:after="0" w:line="240" w:lineRule="auto"/>
        <w:rPr>
          <w:sz w:val="24"/>
          <w:szCs w:val="24"/>
        </w:rPr>
        <w:suppressLineNumbers w:val="0"/>
      </w:pPr>
      <w:r/>
      <w:bookmarkStart w:id="22" w:name="_Toc1"/>
      <w:r>
        <w:rPr>
          <w:sz w:val="24"/>
          <w:szCs w:val="24"/>
          <w:highlight w:val="none"/>
        </w:rPr>
        <w:t xml:space="preserve">Общие </w:t>
      </w:r>
      <w:r>
        <w:rPr>
          <w:sz w:val="24"/>
          <w:szCs w:val="24"/>
          <w:highlight w:val="none"/>
        </w:rPr>
        <w:t xml:space="preserve">требования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</w:pPr>
      <w:r/>
      <w:r/>
    </w:p>
    <w:p>
      <w:pPr>
        <w:pStyle w:val="894"/>
        <w:rPr>
          <w:sz w:val="24"/>
          <w:szCs w:val="24"/>
        </w:rPr>
      </w:pPr>
      <w:r/>
      <w:bookmarkStart w:id="23" w:name="_Toc2"/>
      <w:r>
        <w:rPr>
          <w:sz w:val="24"/>
          <w:szCs w:val="24"/>
        </w:rPr>
        <w:t xml:space="preserve">Наименование закупаемой продукции</w:t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rPr>
          <w:rFonts w:eastAsia="Calibri"/>
          <w:b w:val="0"/>
          <w:bCs w:val="0"/>
          <w:i/>
          <w:sz w:val="24"/>
          <w:szCs w:val="24"/>
        </w:rPr>
      </w:pPr>
      <w:r>
        <w:rPr>
          <w:rFonts w:eastAsia="Calibri"/>
          <w:b w:val="0"/>
          <w:bCs w:val="0"/>
          <w:i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ОКПД2 38.22.19.000 Оказание услуг по вывозу и утилизации опасных отходов для Хабаровской ТЭЦ-1, г. Хабаровск</w:t>
      </w:r>
      <w:r>
        <w:rPr>
          <w:rFonts w:eastAsia="Calibri"/>
          <w:b w:val="0"/>
          <w:bCs w:val="0"/>
          <w:i/>
          <w:sz w:val="24"/>
          <w:szCs w:val="24"/>
        </w:rPr>
        <w:t xml:space="preserve">  </w:t>
      </w:r>
      <w:r>
        <w:rPr>
          <w:rFonts w:eastAsia="Calibri"/>
          <w:b w:val="0"/>
          <w:bCs w:val="0"/>
          <w:i/>
          <w:sz w:val="24"/>
          <w:szCs w:val="24"/>
        </w:rPr>
      </w:r>
      <w:r>
        <w:rPr>
          <w:rFonts w:eastAsia="Calibri"/>
          <w:b w:val="0"/>
          <w:bCs w:val="0"/>
          <w:i/>
          <w:sz w:val="24"/>
          <w:szCs w:val="24"/>
        </w:rPr>
      </w:r>
    </w:p>
    <w:p>
      <w:pPr>
        <w:pStyle w:val="894"/>
        <w:spacing w:line="240" w:lineRule="auto"/>
        <w:rPr>
          <w:sz w:val="24"/>
          <w:szCs w:val="24"/>
        </w:rPr>
      </w:pPr>
      <w:r/>
      <w:bookmarkStart w:id="24" w:name="_Toc3"/>
      <w:r>
        <w:rPr>
          <w:sz w:val="24"/>
          <w:szCs w:val="24"/>
        </w:rPr>
        <w:t xml:space="preserve">Цель </w:t>
      </w:r>
      <w:r>
        <w:rPr>
          <w:sz w:val="24"/>
          <w:szCs w:val="24"/>
        </w:rPr>
        <w:t xml:space="preserve">оказания услуг</w:t>
      </w:r>
      <w:r>
        <w:rPr>
          <w:sz w:val="24"/>
          <w:szCs w:val="24"/>
        </w:rPr>
        <w:t xml:space="preserve"> 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bCs/>
          <w:i/>
          <w:sz w:val="24"/>
          <w:szCs w:val="24"/>
          <w:highlight w:val="none"/>
        </w:rPr>
      </w:pPr>
      <w:r>
        <w:rPr>
          <w:rStyle w:val="1135"/>
          <w:b w:val="0"/>
          <w:bCs/>
          <w:i w:val="0"/>
          <w:sz w:val="24"/>
          <w:szCs w:val="24"/>
          <w:highlight w:val="white"/>
        </w:rPr>
        <w:t xml:space="preserve">В</w:t>
      </w:r>
      <w:r>
        <w:rPr>
          <w:rStyle w:val="1135"/>
          <w:b w:val="0"/>
          <w:bCs/>
          <w:i w:val="0"/>
          <w:sz w:val="24"/>
          <w:szCs w:val="24"/>
          <w:highlight w:val="white"/>
        </w:rPr>
        <w:t xml:space="preserve">ыполнение требований Федерального закона РФ №89-ФЗ от 24.06.1998 «Об отхода</w:t>
      </w:r>
      <w:r>
        <w:rPr>
          <w:sz w:val="24"/>
          <w:szCs w:val="24"/>
          <w:highlight w:val="white"/>
        </w:rPr>
        <w:t xml:space="preserve">х</w:t>
      </w:r>
      <w:r>
        <w:rPr>
          <w:sz w:val="24"/>
          <w:szCs w:val="24"/>
          <w:highlight w:val="white"/>
        </w:rPr>
        <w:t xml:space="preserve"> </w:t>
      </w:r>
      <w:r>
        <w:rPr>
          <w:rStyle w:val="1135"/>
          <w:b w:val="0"/>
          <w:bCs/>
          <w:i w:val="0"/>
          <w:sz w:val="24"/>
          <w:szCs w:val="24"/>
          <w:highlight w:val="white"/>
        </w:rPr>
        <w:t xml:space="preserve">производства и потребления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.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rStyle w:val="1135"/>
          <w:b w:val="0"/>
          <w:bCs w:val="0"/>
          <w:i w:val="0"/>
          <w:sz w:val="24"/>
          <w:szCs w:val="24"/>
          <w:highlight w:val="white"/>
        </w:rPr>
      </w:pPr>
      <w:r>
        <w:rPr>
          <w:i/>
          <w:sz w:val="24"/>
          <w:szCs w:val="24"/>
          <w:highlight w:val="none"/>
        </w:rPr>
      </w:r>
      <w:r>
        <w:rPr>
          <w:rStyle w:val="1135"/>
          <w:b w:val="0"/>
          <w:bCs w:val="0"/>
          <w:i w:val="0"/>
          <w:sz w:val="24"/>
          <w:szCs w:val="24"/>
          <w:highlight w:val="white"/>
        </w:rPr>
      </w:r>
      <w:r>
        <w:rPr>
          <w:rStyle w:val="1135"/>
          <w:b w:val="0"/>
          <w:bCs w:val="0"/>
          <w:i w:val="0"/>
          <w:sz w:val="24"/>
          <w:szCs w:val="24"/>
          <w:highlight w:val="white"/>
        </w:rPr>
      </w:r>
    </w:p>
    <w:p>
      <w:pPr>
        <w:pStyle w:val="894"/>
        <w:spacing w:before="0" w:beforeAutospacing="0" w:after="0" w:afterAutospacing="0" w:line="240" w:lineRule="auto"/>
        <w:rPr>
          <w:rStyle w:val="1135"/>
          <w:sz w:val="24"/>
          <w:szCs w:val="24"/>
          <w:highlight w:val="white"/>
        </w:rPr>
      </w:pPr>
      <w:r/>
      <w:bookmarkStart w:id="25" w:name="_Toc4"/>
      <w:r>
        <w:rPr>
          <w:rStyle w:val="1135"/>
          <w:b/>
          <w:i w:val="0"/>
          <w:iCs w:val="0"/>
          <w:sz w:val="24"/>
          <w:szCs w:val="24"/>
          <w:highlight w:val="white"/>
          <w:lang w:val="ru-RU"/>
        </w:rPr>
        <w:t xml:space="preserve">Общие сведения</w:t>
      </w:r>
      <w:bookmarkEnd w:id="25"/>
      <w:r>
        <w:rPr>
          <w:rStyle w:val="1135"/>
          <w:sz w:val="24"/>
          <w:szCs w:val="24"/>
          <w:highlight w:val="white"/>
        </w:rPr>
      </w:r>
      <w:r>
        <w:rPr>
          <w:rStyle w:val="1135"/>
          <w:sz w:val="24"/>
          <w:szCs w:val="24"/>
          <w:highlight w:val="white"/>
        </w:rPr>
      </w:r>
    </w:p>
    <w:p>
      <w:pPr>
        <w:pStyle w:val="1162"/>
        <w:ind w:left="0" w:right="0" w:firstLine="568"/>
        <w:jc w:val="both"/>
        <w:spacing w:before="0" w:after="40" w:afterAutospacing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  <w:t xml:space="preserve">«Хабаровская ТЭЦ-1» – структурное подразделение АО «Дальневосточная генерирующая компания» (АО «ДГК»), входящее в Группу РусГидро, действует на территории г. Хабаровска.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  <w:lang w:val="ru-RU"/>
        </w:rPr>
      </w:r>
    </w:p>
    <w:p>
      <w:pPr>
        <w:pStyle w:val="1162"/>
        <w:ind w:left="0" w:right="0" w:firstLine="568"/>
        <w:jc w:val="both"/>
        <w:spacing w:before="0" w:after="40" w:afterAutospacing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К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  <w:lang w:val="ru-RU"/>
        </w:rPr>
        <w:t xml:space="preserve">од ОКВЭД - 35.11.1.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  <w:lang w:val="ru-RU"/>
        </w:rPr>
        <w:t xml:space="preserve">Производство электроэнергии тепловыми электростанциями, в том числе деятельность по обеспечению работоспособности электростанций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  <w:lang w:val="ru-RU"/>
        </w:rPr>
      </w:r>
    </w:p>
    <w:p>
      <w:pPr>
        <w:pStyle w:val="1162"/>
        <w:ind w:left="0" w:right="0" w:firstLine="568"/>
        <w:jc w:val="both"/>
        <w:spacing w:before="0" w:after="40" w:afterAutospacing="0"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  <w:lang w:val="ru-RU"/>
        </w:rPr>
        <w:t xml:space="preserve">Код объекта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/>
        </w:rPr>
        <w:t xml:space="preserve">: 08-0127-000286-П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val="ru-RU"/>
        </w:rPr>
      </w:r>
    </w:p>
    <w:p>
      <w:pPr>
        <w:pStyle w:val="1162"/>
        <w:ind w:left="0" w:right="0" w:firstLine="568"/>
        <w:jc w:val="both"/>
        <w:spacing w:before="0" w:after="4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  <w:lang w:val="ru-RU"/>
        </w:rPr>
        <w:t xml:space="preserve">Адрес местонахождения объекта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val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680015, г. Хабаровск,  ул. Узловая, 15а.</w:t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</w:r>
    </w:p>
    <w:p>
      <w:pPr>
        <w:pStyle w:val="1162"/>
        <w:ind w:left="0" w:right="0" w:firstLine="568"/>
        <w:jc w:val="both"/>
        <w:spacing w:before="0" w:after="4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none"/>
          <w:lang w:val="ru-RU"/>
        </w:rPr>
      </w:r>
    </w:p>
    <w:p>
      <w:pPr>
        <w:pStyle w:val="894"/>
        <w:spacing w:before="0" w:beforeAutospacing="0" w:after="0" w:afterAutospacing="0" w:line="240" w:lineRule="auto"/>
        <w:rPr>
          <w:rStyle w:val="1135"/>
          <w:sz w:val="24"/>
          <w:szCs w:val="24"/>
          <w:highlight w:val="white"/>
        </w:rPr>
      </w:pPr>
      <w:r/>
      <w:bookmarkStart w:id="26" w:name="_Toc5"/>
      <w:r>
        <w:rPr>
          <w:sz w:val="24"/>
          <w:szCs w:val="24"/>
        </w:rPr>
        <w:t xml:space="preserve">Существующее положение</w:t>
      </w:r>
      <w:r>
        <w:rPr>
          <w:sz w:val="24"/>
          <w:szCs w:val="24"/>
        </w:rPr>
        <w:t xml:space="preserve"> </w:t>
      </w:r>
      <w:bookmarkEnd w:id="26"/>
      <w:r>
        <w:rPr>
          <w:rStyle w:val="1135"/>
          <w:sz w:val="24"/>
          <w:szCs w:val="24"/>
          <w:highlight w:val="white"/>
        </w:rPr>
      </w:r>
      <w:r>
        <w:rPr>
          <w:rStyle w:val="1135"/>
          <w:sz w:val="24"/>
          <w:szCs w:val="24"/>
          <w:highlight w:val="white"/>
        </w:rPr>
      </w:r>
    </w:p>
    <w:p>
      <w:pPr>
        <w:spacing w:before="0" w:beforeAutospacing="0" w:after="0" w:afterAutospacing="0" w:line="240" w:lineRule="auto"/>
        <w:rPr>
          <w:color w:val="000000" w:themeColor="text1"/>
          <w:sz w:val="24"/>
          <w:szCs w:val="24"/>
          <w:highlight w:val="none"/>
        </w:rPr>
      </w:pPr>
      <w:r>
        <w:rPr>
          <w:rStyle w:val="1135"/>
          <w:b w:val="0"/>
          <w:bCs w:val="0"/>
          <w:i w:val="0"/>
          <w:sz w:val="24"/>
          <w:szCs w:val="24"/>
          <w:highlight w:val="white"/>
        </w:rPr>
        <w:t xml:space="preserve">В настоящее время на Хабаровской ТЭЦ-1 </w:t>
      </w:r>
      <w:r>
        <w:rPr>
          <w:rStyle w:val="1135"/>
          <w:b w:val="0"/>
          <w:bCs w:val="0"/>
          <w:i w:val="0"/>
          <w:color w:val="auto"/>
          <w:sz w:val="24"/>
          <w:szCs w:val="24"/>
          <w:highlight w:val="white"/>
        </w:rPr>
        <w:t xml:space="preserve">накапливаются отходы </w:t>
      </w:r>
      <w:r>
        <w:rPr>
          <w:color w:val="auto"/>
          <w:sz w:val="24"/>
          <w:szCs w:val="24"/>
          <w:highlight w:val="white"/>
        </w:rPr>
        <w:t xml:space="preserve">в </w:t>
      </w:r>
      <w:r>
        <w:rPr>
          <w:color w:val="auto"/>
          <w:sz w:val="24"/>
          <w:szCs w:val="24"/>
          <w:highlight w:val="white"/>
        </w:rPr>
        <w:t xml:space="preserve">местах обустроенных в соответствии с законодательством. </w:t>
      </w:r>
      <w:r>
        <w:rPr>
          <w:color w:val="auto"/>
          <w:sz w:val="24"/>
          <w:szCs w:val="24"/>
          <w:highlight w:val="white"/>
        </w:rPr>
        <w:t xml:space="preserve">Согласно</w:t>
      </w:r>
      <w:r>
        <w:rPr>
          <w:color w:val="000000" w:themeColor="text1"/>
          <w:sz w:val="24"/>
          <w:szCs w:val="24"/>
          <w:highlight w:val="white"/>
        </w:rPr>
        <w:t xml:space="preserve"> требованиям ФЗ №89 от 24.06.1998г накопление отходов не должно превышать 11 месяцев со дня образования.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numPr>
          <w:ilvl w:val="0"/>
          <w:numId w:val="0"/>
        </w:numPr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0"/>
          <w:numId w:val="0"/>
        </w:numPr>
        <w:ind w:left="0" w:firstLine="0"/>
        <w:rPr>
          <w:b/>
          <w:bCs/>
          <w:i/>
          <w:iCs/>
          <w:sz w:val="24"/>
          <w:szCs w:val="24"/>
          <w:highlight w:val="none"/>
        </w:rPr>
      </w:pPr>
      <w:r>
        <w:rPr>
          <w:b/>
          <w:bCs/>
          <w:i/>
          <w:iCs/>
          <w:sz w:val="24"/>
          <w:szCs w:val="24"/>
        </w:rPr>
        <w:t xml:space="preserve">Таблица 1</w:t>
      </w:r>
      <w:r>
        <w:rPr>
          <w:b/>
          <w:bCs/>
          <w:i/>
          <w:iCs/>
          <w:sz w:val="24"/>
          <w:szCs w:val="24"/>
        </w:rPr>
        <w:t xml:space="preserve">.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 xml:space="preserve">Перечень объектов заказчика</w:t>
      </w:r>
      <w:r>
        <w:rPr>
          <w:b/>
          <w:bCs/>
          <w:i/>
          <w:iCs/>
          <w:sz w:val="24"/>
          <w:szCs w:val="24"/>
          <w:highlight w:val="none"/>
        </w:rPr>
      </w:r>
      <w:r>
        <w:rPr>
          <w:b/>
          <w:bCs/>
          <w:i/>
          <w:iCs/>
          <w:sz w:val="24"/>
          <w:szCs w:val="24"/>
          <w:highlight w:val="none"/>
        </w:rPr>
      </w:r>
    </w:p>
    <w:tbl>
      <w:tblPr>
        <w:tblW w:w="10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2126"/>
        <w:gridCol w:w="4252"/>
        <w:gridCol w:w="1559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оказания услуг)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оказываются услуги)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567" w:type="dxa"/>
            <w:textDirection w:val="lrTb"/>
            <w:noWrap w:val="false"/>
          </w:tcPr>
          <w:p>
            <w:pPr>
              <w:pStyle w:val="1104"/>
              <w:numPr>
                <w:ilvl w:val="0"/>
                <w:numId w:val="28"/>
              </w:numPr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 «Хабаровская ТЭЦ-1»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</w:t>
            </w:r>
            <w:r>
              <w:rPr>
                <w:iCs/>
                <w:sz w:val="24"/>
                <w:szCs w:val="24"/>
                <w:highlight w:val="white"/>
              </w:rPr>
              <w:t xml:space="preserve">. Хабаровск,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ул. Узловая,15а /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г. Хабаровск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ул. Пионерская-ул. Бийская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trike w:val="0"/>
                <w:sz w:val="24"/>
                <w:szCs w:val="24"/>
                <w:highlight w:val="none"/>
              </w:rPr>
              <w:t xml:space="preserve">Отходы </w:t>
            </w:r>
            <w:r>
              <w:rPr>
                <w:rFonts w:eastAsia="Calibri"/>
                <w:strike w:val="0"/>
                <w:sz w:val="24"/>
                <w:szCs w:val="24"/>
                <w:highlight w:val="none"/>
              </w:rPr>
              <w:t xml:space="preserve">производства и потребления образованные от СП «Хабаровская ТЭЦ-1»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color w:val="auto"/>
                <w:sz w:val="24"/>
                <w:szCs w:val="24"/>
                <w:highlight w:val="yellow"/>
              </w:rPr>
            </w:pPr>
            <w:r>
              <w:rPr>
                <w:color w:val="auto"/>
                <w:sz w:val="24"/>
                <w:szCs w:val="24"/>
                <w:highlight w:val="yellow"/>
              </w:rPr>
            </w:r>
            <w:r>
              <w:rPr>
                <w:color w:val="auto"/>
                <w:sz w:val="24"/>
                <w:szCs w:val="24"/>
                <w:highlight w:val="yellow"/>
              </w:rPr>
            </w:r>
            <w:r>
              <w:rPr>
                <w:color w:val="auto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pStyle w:val="893"/>
        <w:numPr>
          <w:ilvl w:val="0"/>
          <w:numId w:val="0"/>
        </w:numPr>
        <w:ind w:left="5038" w:firstLine="0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94"/>
        <w:rPr>
          <w:highlight w:val="none"/>
        </w:rPr>
      </w:pPr>
      <w:r/>
      <w:bookmarkStart w:id="27" w:name="_Toc6"/>
      <w:r>
        <w:rPr>
          <w:highlight w:val="none"/>
        </w:rPr>
      </w:r>
      <w:bookmarkStart w:id="7" w:name="_Hlk49857604"/>
      <w:r>
        <w:rPr>
          <w:highlight w:val="none"/>
        </w:rPr>
        <w:t xml:space="preserve">Информация в отношении исполнения договора, </w:t>
      </w:r>
      <w:bookmarkStart w:id="9" w:name="_Hlk46492347"/>
      <w:r>
        <w:rPr>
          <w:highlight w:val="none"/>
        </w:rPr>
        <w:t xml:space="preserve">которая должна быть учтена при подготовке заявки </w:t>
      </w:r>
      <w:bookmarkEnd w:id="9"/>
      <w:r>
        <w:rPr>
          <w:highlight w:val="none"/>
        </w:rPr>
        <w:t xml:space="preserve">(в том числе перечень ресурсов, услуг и документов, предоставляемых </w:t>
      </w:r>
      <w:r>
        <w:rPr>
          <w:highlight w:val="none"/>
        </w:rPr>
        <w:t xml:space="preserve">заказчиком</w:t>
      </w:r>
      <w:r>
        <w:rPr>
          <w:highlight w:val="none"/>
        </w:rPr>
        <w:t xml:space="preserve"> на этапе исполнения договора)</w:t>
      </w:r>
      <w:bookmarkEnd w:id="7"/>
      <w:r/>
      <w:bookmarkEnd w:id="27"/>
      <w:r>
        <w:rPr>
          <w:highlight w:val="none"/>
        </w:rPr>
      </w:r>
      <w:r>
        <w:rPr>
          <w:highlight w:val="none"/>
        </w:rPr>
      </w:r>
    </w:p>
    <w:p>
      <w:r/>
      <w:r/>
    </w:p>
    <w:p>
      <w:pPr>
        <w:pStyle w:val="895"/>
        <w:rPr>
          <w:rFonts w:eastAsia="Open Sans"/>
          <w:b/>
          <w:bCs/>
          <w:iCs/>
          <w:color w:val="000000"/>
          <w:sz w:val="24"/>
          <w:szCs w:val="24"/>
          <w:highlight w:val="none"/>
        </w:rPr>
      </w:pPr>
      <w:r/>
      <w:bookmarkStart w:id="28" w:name="_Toc7"/>
      <w:r>
        <w:rPr>
          <w:rFonts w:eastAsia="Open Sans"/>
          <w:b/>
          <w:bCs/>
          <w:color w:val="000000"/>
          <w:sz w:val="24"/>
          <w:szCs w:val="24"/>
          <w:highlight w:val="none"/>
        </w:rPr>
        <w:t xml:space="preserve">Информация о допуске персонала подрядных организаций </w:t>
      </w:r>
      <w:bookmarkEnd w:id="28"/>
      <w:r>
        <w:rPr>
          <w:rFonts w:eastAsia="Open Sans"/>
          <w:b/>
          <w:bCs/>
          <w:iCs/>
          <w:color w:val="000000"/>
          <w:sz w:val="24"/>
          <w:szCs w:val="24"/>
          <w:highlight w:val="none"/>
        </w:rPr>
      </w:r>
      <w:r>
        <w:rPr>
          <w:rFonts w:eastAsia="Open Sans"/>
          <w:b/>
          <w:bCs/>
          <w:iCs/>
          <w:color w:val="000000"/>
          <w:sz w:val="24"/>
          <w:szCs w:val="24"/>
          <w:highlight w:val="none"/>
        </w:rPr>
      </w:r>
    </w:p>
    <w:p>
      <w:pPr>
        <w:contextualSpacing/>
        <w:jc w:val="both"/>
        <w:spacing w:before="0" w:beforeAutospacing="0" w:after="0" w:afterAutospacing="0" w:line="240" w:lineRule="auto"/>
        <w:widowControl w:val="off"/>
        <w:tabs>
          <w:tab w:val="left" w:pos="426" w:leader="none"/>
        </w:tabs>
        <w:rPr>
          <w:rFonts w:eastAsia="Open Sans"/>
          <w:color w:val="000000"/>
          <w:sz w:val="24"/>
          <w:szCs w:val="24"/>
          <w:highlight w:val="none"/>
        </w:rPr>
      </w:pP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В связи с тем, что 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структурное подразделение «Хабаровская ТЭЦ-1» 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АО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 «Дальневосточная генерирующая компания» 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является режимным пре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дприятием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 и 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вход работников сторонних организаций 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воз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можен 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только по пропускам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, </w:t>
      </w:r>
      <w:r>
        <w:rPr>
          <w:rFonts w:eastAsia="Open Sans"/>
          <w:color w:val="000000"/>
          <w:sz w:val="24"/>
          <w:szCs w:val="24"/>
          <w:highlight w:val="none"/>
        </w:rPr>
        <w:t xml:space="preserve">в соответствии с </w:t>
      </w:r>
      <w:r>
        <w:rPr>
          <w:rFonts w:eastAsia="Open Sans"/>
          <w:color w:val="000000"/>
          <w:sz w:val="24"/>
          <w:szCs w:val="24"/>
          <w:highlight w:val="none"/>
        </w:rPr>
        <w:t xml:space="preserve">«Положением </w:t>
      </w:r>
      <w:r>
        <w:rPr>
          <w:rFonts w:eastAsia="Open Sans"/>
          <w:color w:val="000000"/>
          <w:sz w:val="24"/>
          <w:szCs w:val="24"/>
          <w:highlight w:val="none"/>
        </w:rPr>
        <w:t xml:space="preserve">о допуске персонала подрядных организаций </w:t>
      </w:r>
      <w:r>
        <w:rPr>
          <w:rFonts w:eastAsia="Open Sans"/>
          <w:color w:val="000000"/>
          <w:sz w:val="24"/>
          <w:szCs w:val="24"/>
          <w:highlight w:val="none"/>
        </w:rPr>
        <w:t xml:space="preserve">к выполнению работ на объектах АО «ДГК» </w:t>
      </w:r>
      <w:r>
        <w:rPr>
          <w:rFonts w:eastAsia="Open Sans"/>
          <w:color w:val="000000"/>
          <w:sz w:val="24"/>
          <w:szCs w:val="24"/>
          <w:highlight w:val="none"/>
        </w:rPr>
        <w:t xml:space="preserve">22.1-504-2025</w:t>
      </w:r>
      <w:r>
        <w:rPr>
          <w:rFonts w:eastAsia="Open Sans"/>
          <w:color w:val="000000"/>
          <w:sz w:val="24"/>
          <w:szCs w:val="24"/>
          <w:highlight w:val="none"/>
        </w:rPr>
        <w:t xml:space="preserve">,</w:t>
      </w:r>
      <w:r>
        <w:rPr>
          <w:rFonts w:eastAsia="Open Sans"/>
          <w:b w:val="0"/>
          <w:bCs w:val="0"/>
          <w:color w:val="000000"/>
          <w:sz w:val="24"/>
          <w:szCs w:val="24"/>
          <w:highlight w:val="none"/>
        </w:rPr>
        <w:t xml:space="preserve"> представлено в </w:t>
      </w:r>
      <w:r>
        <w:rPr>
          <w:rFonts w:eastAsia="Open Sans"/>
          <w:color w:val="000000"/>
          <w:sz w:val="24"/>
          <w:szCs w:val="24"/>
          <w:highlight w:val="none"/>
        </w:rPr>
        <w:t xml:space="preserve">Приложении №2. </w:t>
      </w:r>
      <w:r>
        <w:rPr>
          <w:rFonts w:eastAsia="Open Sans"/>
          <w:color w:val="000000"/>
          <w:sz w:val="24"/>
          <w:szCs w:val="24"/>
          <w:highlight w:val="none"/>
        </w:rPr>
      </w:r>
      <w:r>
        <w:rPr>
          <w:rFonts w:eastAsia="Open Sans"/>
          <w:color w:val="000000"/>
          <w:sz w:val="24"/>
          <w:szCs w:val="24"/>
          <w:highlight w:val="none"/>
        </w:rPr>
      </w:r>
    </w:p>
    <w:p>
      <w:pPr>
        <w:pStyle w:val="895"/>
        <w:rPr>
          <w:rFonts w:eastAsia="Open Sans"/>
          <w:b/>
          <w:bCs/>
          <w:color w:val="000000"/>
          <w:sz w:val="24"/>
          <w:szCs w:val="24"/>
          <w:highlight w:val="none"/>
        </w:rPr>
      </w:pPr>
      <w:r/>
      <w:bookmarkStart w:id="29" w:name="_Toc8"/>
      <w:r>
        <w:rPr>
          <w:b/>
          <w:bCs/>
          <w:sz w:val="24"/>
          <w:szCs w:val="24"/>
          <w:highlight w:val="white"/>
        </w:rPr>
        <w:t xml:space="preserve">Информация об имеющимся оборудовании</w:t>
      </w:r>
      <w:bookmarkEnd w:id="29"/>
      <w:r>
        <w:rPr>
          <w:rFonts w:eastAsia="Open Sans"/>
          <w:b/>
          <w:bCs/>
          <w:color w:val="000000"/>
          <w:sz w:val="24"/>
          <w:szCs w:val="24"/>
          <w:highlight w:val="none"/>
        </w:rPr>
      </w:r>
      <w:r>
        <w:rPr>
          <w:rFonts w:eastAsia="Open Sans"/>
          <w:b/>
          <w:bCs/>
          <w:color w:val="000000"/>
          <w:sz w:val="24"/>
          <w:szCs w:val="24"/>
          <w:highlight w:val="none"/>
        </w:rPr>
      </w:r>
    </w:p>
    <w:p>
      <w:p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</w:rPr>
        <w:t xml:space="preserve">В </w:t>
      </w:r>
      <w:r>
        <w:rPr>
          <w:sz w:val="24"/>
          <w:szCs w:val="24"/>
          <w:highlight w:val="white"/>
        </w:rPr>
        <w:t xml:space="preserve">месте накопления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садка механической очистки нефтесодержащих сточных вод</w:t>
      </w:r>
      <w:r>
        <w:rPr>
          <w:sz w:val="24"/>
          <w:szCs w:val="24"/>
          <w:highlight w:val="white"/>
        </w:rPr>
        <w:t xml:space="preserve"> имеется экскаватор подрядной организации, который может быть использован, для погрузки осадка в грузовой автомобиль (самосвал), на возмездной основе по договоренности с руководителем подрядной организации.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  <w14:ligatures w14:val="none"/>
        </w:rPr>
        <w:t xml:space="preserve">Погрузка остальных отходов осуществляется силами контрагента (исполнителя).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pStyle w:val="895"/>
        <w:rPr>
          <w:b/>
          <w:bCs/>
          <w:sz w:val="24"/>
          <w:szCs w:val="24"/>
          <w:highlight w:val="none"/>
          <w14:ligatures w14:val="none"/>
        </w:rPr>
      </w:pPr>
      <w:r/>
      <w:bookmarkStart w:id="30" w:name="_Toc9"/>
      <w:r>
        <w:rPr>
          <w:b/>
          <w:bCs/>
          <w:sz w:val="24"/>
          <w:szCs w:val="24"/>
          <w:highlight w:val="none"/>
        </w:rPr>
        <w:t xml:space="preserve">Информация для подбора спецтехники необходимой для транспортирования отходов с территории предприятия:</w:t>
      </w:r>
      <w:bookmarkEnd w:id="30"/>
      <w:r>
        <w:rPr>
          <w:b/>
          <w:bCs/>
          <w:sz w:val="24"/>
          <w:szCs w:val="24"/>
          <w:highlight w:val="none"/>
          <w14:ligatures w14:val="none"/>
        </w:rPr>
      </w:r>
      <w:r>
        <w:rPr>
          <w:b/>
          <w:bCs/>
          <w:sz w:val="24"/>
          <w:szCs w:val="24"/>
          <w:highlight w:val="non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b w:val="0"/>
          <w:bCs w:val="0"/>
          <w:i w:val="0"/>
          <w:sz w:val="24"/>
          <w:szCs w:val="24"/>
          <w:highlight w:val="none"/>
          <w14:ligatures w14:val="none"/>
        </w:rPr>
      </w:pPr>
      <w:r>
        <w:rPr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Отходы минеральных масел моторных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 накапливается в бочке. У тары имеется кран для слива ма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сла. Масло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будет передаваться без тары (для вывоза необходима тара для транспортировки).</w:t>
      </w:r>
      <w:r>
        <w:rPr>
          <w:b w:val="0"/>
          <w:bCs w:val="0"/>
          <w:i w:val="0"/>
          <w:sz w:val="24"/>
          <w:szCs w:val="24"/>
          <w:highlight w:val="none"/>
          <w14:ligatures w14:val="none"/>
        </w:rPr>
      </w:r>
      <w:r>
        <w:rPr>
          <w:b w:val="0"/>
          <w:bCs w:val="0"/>
          <w:i w:val="0"/>
          <w:sz w:val="24"/>
          <w:szCs w:val="24"/>
          <w:highlight w:val="non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highlight w:val="none"/>
        </w:rPr>
      </w:pPr>
      <w:r>
        <w:rPr>
          <w:b w:val="0"/>
          <w:bCs w:val="0"/>
          <w:i w:val="0"/>
          <w:sz w:val="24"/>
          <w:szCs w:val="24"/>
          <w:highlight w:val="none"/>
          <w14:ligatures w14:val="none"/>
        </w:rPr>
      </w:r>
      <w:r>
        <w:rPr>
          <w:b w:val="0"/>
          <w:bCs w:val="0"/>
          <w:i w:val="0"/>
          <w:sz w:val="24"/>
          <w:szCs w:val="24"/>
          <w:highlight w:val="none"/>
          <w14:ligatures w14:val="none"/>
        </w:rPr>
        <w:t xml:space="preserve">Отходы минеральных масел турбинных</w:t>
      </w:r>
      <w:r>
        <w:rPr>
          <w:b w:val="0"/>
          <w:bCs w:val="0"/>
          <w:i w:val="0"/>
          <w:sz w:val="24"/>
          <w:szCs w:val="24"/>
          <w:highlight w:val="none"/>
          <w14:ligatures w14:val="none"/>
        </w:rPr>
        <w:t xml:space="preserve"> накапливается в еврокубах. Масло будет передаваться без тары. </w:t>
      </w:r>
      <w:r>
        <w:rPr>
          <w:b w:val="0"/>
          <w:bCs w:val="0"/>
          <w:i w:val="0"/>
          <w:sz w:val="24"/>
          <w:szCs w:val="24"/>
          <w:highlight w:val="none"/>
          <w14:ligatures w14:val="none"/>
        </w:rPr>
        <w:t xml:space="preserve">Для транспортирования необходима вакуумная машина для откачки содержимого.</w:t>
      </w:r>
      <w:r>
        <w:rPr>
          <w:highlight w:val="none"/>
        </w:rPr>
      </w:r>
      <w:r>
        <w:rPr>
          <w:highlight w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none"/>
        </w:rPr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Всплывшие нефтепродукты из 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нефтеловушек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 и аналогич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ных сооружений накапливаются в цистернах (бочках). Для транспортирования необходима вакуумная машина для откачки содержимого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Осадок механической очистки нефтесодержащих сточных вод, содержащий нефтепродукты в количестве 15% и более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 с помощью экскаватора грузится в грузовой автомобиль (самосвал) или в другую тару на усмотрение исполнителя, за счет средств исполнителя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Обтирочный материал, загрязненный нефтью или нефтепродуктами (содержание нефти или нефтепродуктов  15 % и более)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упаковывается в полиэтиленовые пакеты для транспортировки. </w:t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Песок, загрязненный нефтью или нефтепродуктами (содержание нефти или нефтепродуктов 15% и более)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,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упаковывается</w:t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 в </w:t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  <w:t xml:space="preserve">специализированные ёмкости (металлические или пластиковые контейнеры) самостоятельно заказчиком.</w:t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rFonts w:ascii="Times New Roman" w:hAnsi="Times New Roman"/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i w:val="0"/>
          <w:iCs w:val="0"/>
          <w:sz w:val="24"/>
          <w:szCs w:val="24"/>
          <w:highlight w:val="white"/>
        </w:rPr>
      </w:r>
      <w:r>
        <w:rPr>
          <w:b w:val="0"/>
          <w:bCs w:val="0"/>
          <w:i w:val="0"/>
          <w:iCs w:val="0"/>
          <w:sz w:val="24"/>
          <w:szCs w:val="24"/>
          <w:highlight w:val="white"/>
        </w:rPr>
        <w:t xml:space="preserve">Покрышки пневматических шин с металлическим кордом отработанные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не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упаковываются перед транспортировкой.</w:t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104"/>
        <w:numPr>
          <w:ilvl w:val="0"/>
          <w:numId w:val="38"/>
        </w:num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Офисная техника или оргтехника для транспортирования упаковывается в картонные коробки. </w:t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  <w14:ligatures w14:val="none"/>
        </w:rPr>
      </w:r>
      <w:r>
        <w:rPr>
          <w:rFonts w:ascii="Times New Roman" w:hAnsi="Times New Roman"/>
          <w:b w:val="0"/>
          <w:bCs w:val="0"/>
          <w:i w:val="0"/>
          <w:sz w:val="24"/>
          <w:szCs w:val="24"/>
          <w:highlight w:val="none"/>
          <w14:ligatures w14:val="none"/>
        </w:rPr>
      </w:r>
    </w:p>
    <w:p>
      <w:p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sz w:val="24"/>
          <w:szCs w:val="24"/>
          <w:highlight w:val="white"/>
          <w14:ligatures w14:val="none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contextualSpacing/>
        <w:jc w:val="both"/>
        <w:spacing w:before="0" w:beforeAutospacing="0" w:after="0" w:afterAutospacing="0" w:line="240" w:lineRule="auto"/>
        <w:shd w:val="clear" w:color="auto" w:fill="auto"/>
        <w:widowControl w:val="off"/>
        <w:tabs>
          <w:tab w:val="left" w:pos="426" w:leader="none"/>
        </w:tabs>
        <w:rPr>
          <w:sz w:val="24"/>
          <w:szCs w:val="24"/>
          <w:highlight w:val="white"/>
          <w14:ligatures w14:val="none"/>
        </w:rPr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first" r:id="rId16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pStyle w:val="893"/>
        <w:contextualSpacing/>
        <w:ind w:left="0" w:firstLine="0"/>
        <w:jc w:val="left"/>
        <w:keepLines/>
        <w:rPr>
          <w:iCs/>
          <w:caps/>
          <w:sz w:val="24"/>
          <w:szCs w:val="24"/>
        </w:rPr>
        <w:suppressLineNumbers w:val="0"/>
      </w:pPr>
      <w:r/>
      <w:bookmarkStart w:id="31" w:name="_Toc10"/>
      <w:r>
        <w:rPr>
          <w:iCs/>
          <w:sz w:val="24"/>
          <w:szCs w:val="24"/>
        </w:rPr>
        <w:t xml:space="preserve">Требования</w:t>
      </w:r>
      <w:r>
        <w:rPr>
          <w:iCs/>
          <w:sz w:val="24"/>
          <w:szCs w:val="24"/>
        </w:rPr>
        <w:t xml:space="preserve"> к продукции</w:t>
      </w:r>
      <w:bookmarkEnd w:id="3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894"/>
        <w:suppressLineNumbers w:val="0"/>
      </w:pPr>
      <w:r/>
      <w:bookmarkStart w:id="32" w:name="_Toc11"/>
      <w:r>
        <w:t xml:space="preserve">Требования к объемам и срокам </w:t>
      </w:r>
      <w:r>
        <w:t xml:space="preserve">оказания услуг</w:t>
      </w:r>
      <w:bookmarkEnd w:id="32"/>
      <w:r/>
      <w:r/>
    </w:p>
    <w:p>
      <w:pPr>
        <w:pStyle w:val="895"/>
        <w:contextualSpacing/>
        <w:ind w:left="0" w:firstLine="0"/>
        <w:jc w:val="left"/>
        <w:suppressLineNumbers w:val="0"/>
      </w:pPr>
      <w:r/>
      <w:bookmarkStart w:id="33" w:name="_Toc12"/>
      <w:r>
        <w:t xml:space="preserve">Требования к перечню и объему услуг</w:t>
      </w:r>
      <w:bookmarkEnd w:id="33"/>
      <w:r/>
      <w:r/>
    </w:p>
    <w:p>
      <w:pPr>
        <w:numPr>
          <w:ilvl w:val="0"/>
          <w:numId w:val="0"/>
        </w:numPr>
        <w:ind w:left="0"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Таблица </w:t>
      </w:r>
      <w:r>
        <w:rPr>
          <w:b/>
          <w:bCs/>
          <w:i/>
          <w:iCs/>
          <w:sz w:val="24"/>
          <w:szCs w:val="24"/>
        </w:rPr>
        <w:t xml:space="preserve">2.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 xml:space="preserve">Перечень </w:t>
      </w:r>
      <w:r>
        <w:rPr>
          <w:b/>
          <w:bCs/>
          <w:i/>
          <w:iCs/>
          <w:sz w:val="24"/>
          <w:szCs w:val="24"/>
        </w:rPr>
        <w:t xml:space="preserve">и объем оказываемых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tbl>
      <w:tblPr>
        <w:tblW w:w="96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987"/>
        <w:gridCol w:w="1417"/>
        <w:gridCol w:w="1417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98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Наименование услуг / этапа услуг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987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b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04"/>
              <w:numPr>
                <w:ilvl w:val="0"/>
                <w:numId w:val="29"/>
              </w:numPr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5987" w:type="dxa"/>
            <w:textDirection w:val="lrTb"/>
            <w:noWrap w:val="false"/>
          </w:tcPr>
          <w:p>
            <w:pPr>
              <w:rPr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ОКПД2 38.22.19.000 Оказание услуг по вывозу и утилизации опасных отходов для Хабаровской ТЭЦ-1, г. Хабаровск</w:t>
            </w:r>
            <w:r>
              <w:rPr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white"/>
              </w:rPr>
              <w:t xml:space="preserve">т</w:t>
            </w:r>
            <w:r>
              <w:rPr>
                <w:i/>
                <w:color w:val="000000" w:themeColor="text1"/>
                <w:sz w:val="24"/>
                <w:szCs w:val="24"/>
                <w:highlight w:val="white"/>
              </w:rPr>
              <w:t xml:space="preserve">онн</w:t>
            </w:r>
            <w:r>
              <w:rPr>
                <w:i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i/>
                <w:color w:val="000000" w:themeColor="text1"/>
                <w:sz w:val="24"/>
                <w:szCs w:val="24"/>
                <w:highlight w:val="none"/>
              </w:rPr>
              <w:t xml:space="preserve">80,614</w:t>
            </w:r>
            <w:r>
              <w:rPr>
                <w:i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yellow"/>
              </w:rPr>
            </w:r>
          </w:p>
        </w:tc>
      </w:tr>
    </w:tbl>
    <w:p>
      <w:pPr>
        <w:pStyle w:val="895"/>
        <w:ind w:left="425" w:right="0" w:hanging="425"/>
        <w:rPr>
          <w:highlight w:val="white"/>
        </w:rPr>
      </w:pPr>
      <w:r/>
      <w:bookmarkStart w:id="34" w:name="_Toc13"/>
      <w:r>
        <w:rPr>
          <w:highlight w:val="white"/>
        </w:rPr>
        <w:t xml:space="preserve">Требования </w:t>
      </w:r>
      <w:r>
        <w:rPr>
          <w:highlight w:val="white"/>
        </w:rPr>
        <w:t xml:space="preserve">к срокам оказания услуг</w:t>
      </w:r>
      <w:bookmarkEnd w:id="34"/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0"/>
        </w:numPr>
        <w:ind w:left="0"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Таблица </w:t>
      </w:r>
      <w:r>
        <w:rPr>
          <w:b/>
          <w:bCs/>
          <w:i/>
          <w:iCs/>
          <w:sz w:val="24"/>
          <w:szCs w:val="24"/>
        </w:rPr>
        <w:t xml:space="preserve">3</w:t>
      </w:r>
      <w:r>
        <w:rPr>
          <w:b/>
          <w:bCs/>
          <w:i/>
          <w:iCs/>
          <w:sz w:val="24"/>
          <w:szCs w:val="24"/>
        </w:rPr>
        <w:t xml:space="preserve">. </w:t>
      </w:r>
      <w:bookmarkStart w:id="21" w:name="_Hlk50465284"/>
      <w:r>
        <w:rPr>
          <w:b/>
          <w:bCs/>
          <w:i/>
          <w:iCs/>
          <w:sz w:val="24"/>
          <w:szCs w:val="24"/>
        </w:rPr>
        <w:t xml:space="preserve">Требования </w:t>
      </w:r>
      <w:r>
        <w:rPr>
          <w:b/>
          <w:bCs/>
          <w:i/>
          <w:iCs/>
          <w:sz w:val="24"/>
          <w:szCs w:val="24"/>
        </w:rPr>
        <w:t xml:space="preserve">к</w:t>
      </w:r>
      <w:r>
        <w:rPr>
          <w:b/>
          <w:bCs/>
          <w:i/>
          <w:iCs/>
          <w:sz w:val="24"/>
          <w:szCs w:val="24"/>
        </w:rPr>
        <w:t xml:space="preserve"> срокам </w:t>
      </w:r>
      <w:r>
        <w:rPr>
          <w:b/>
          <w:bCs/>
          <w:i/>
          <w:iCs/>
        </w:rPr>
      </w:r>
      <w:bookmarkEnd w:id="21"/>
      <w:r>
        <w:rPr>
          <w:b/>
          <w:bCs/>
          <w:i/>
          <w:iCs/>
          <w:sz w:val="24"/>
          <w:szCs w:val="24"/>
        </w:rPr>
        <w:t xml:space="preserve">оказания услуг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256"/>
        <w:gridCol w:w="2551"/>
        <w:gridCol w:w="2123"/>
      </w:tblGrid>
      <w:tr>
        <w:tblPrEx/>
        <w:trPr/>
        <w:tc>
          <w:tcPr>
            <w:shd w:val="clear" w:color="auto" w:fill="auto"/>
            <w:tcW w:w="84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2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 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2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133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3" w:type="dxa"/>
            <w:textDirection w:val="lrTb"/>
            <w:noWrap w:val="false"/>
          </w:tcPr>
          <w:p>
            <w:pPr>
              <w:pStyle w:val="1133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846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256" w:type="dxa"/>
            <w:vMerge w:val="restart"/>
            <w:textDirection w:val="lrTb"/>
            <w:noWrap w:val="false"/>
          </w:tcPr>
          <w:p>
            <w:pPr>
              <w:pStyle w:val="1160"/>
              <w:tabs>
                <w:tab w:val="left" w:pos="5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ОКПД2 38.22.19.000 Оказание услуг по вывозу и утилизации опасных отходов для Хабаровской ТЭЦ-1, г. Хабаровск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с даты следующей за датой подписания Договора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12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31.12.2026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12"/>
          <w:headerReference w:type="even" r:id="rId13"/>
          <w:headerReference w:type="first" r:id="rId14"/>
          <w:footerReference w:type="default" r:id="rId17"/>
          <w:footerReference w:type="first" r:id="rId18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94"/>
      </w:pPr>
      <w:r/>
      <w:bookmarkStart w:id="35" w:name="_Toc14"/>
      <w:r>
        <w:t xml:space="preserve">Требования к </w:t>
      </w:r>
      <w:r>
        <w:t xml:space="preserve">качеству услуг</w:t>
      </w:r>
      <w:bookmarkEnd w:id="35"/>
      <w:r/>
      <w:r/>
    </w:p>
    <w:p>
      <w:pPr>
        <w:numPr>
          <w:ilvl w:val="0"/>
          <w:numId w:val="0"/>
        </w:numPr>
        <w:ind w:left="0" w:firstLine="0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Таблица </w:t>
      </w:r>
      <w:r>
        <w:rPr>
          <w:b/>
          <w:bCs/>
          <w:i/>
          <w:iCs/>
          <w:sz w:val="24"/>
          <w:szCs w:val="24"/>
        </w:rPr>
        <w:t xml:space="preserve">4</w:t>
      </w:r>
      <w:r>
        <w:rPr>
          <w:b/>
          <w:bCs/>
          <w:i/>
          <w:iCs/>
          <w:sz w:val="24"/>
          <w:szCs w:val="24"/>
        </w:rPr>
        <w:t xml:space="preserve">. Требования к </w:t>
      </w:r>
      <w:r>
        <w:rPr>
          <w:b/>
          <w:bCs/>
          <w:i/>
          <w:iCs/>
          <w:sz w:val="24"/>
          <w:szCs w:val="24"/>
        </w:rPr>
        <w:t xml:space="preserve">качеству услуг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 1_Таблицы 2):</w:t>
      </w:r>
      <w:r>
        <w:rPr>
          <w:b/>
          <w:bCs/>
          <w:iCs/>
          <w:sz w:val="24"/>
          <w:szCs w:val="24"/>
          <w:shd w:val="clear" w:color="auto" w:fill="ffff99"/>
        </w:rPr>
      </w:r>
      <w:r>
        <w:rPr>
          <w:b/>
          <w:bCs/>
          <w:iCs/>
          <w:sz w:val="24"/>
          <w:szCs w:val="24"/>
          <w:shd w:val="clear" w:color="auto" w:fill="ffff99"/>
        </w:rPr>
      </w:r>
    </w:p>
    <w:p>
      <w:pPr>
        <w:pStyle w:val="1160"/>
        <w:tabs>
          <w:tab w:val="left" w:pos="540" w:leader="none"/>
        </w:tabs>
        <w:rPr>
          <w:sz w:val="24"/>
          <w:szCs w:val="24"/>
        </w:rPr>
      </w:pPr>
      <w:r>
        <w:rPr>
          <w:rFonts w:eastAsia="Calibri"/>
          <w:b/>
          <w:bCs/>
          <w:i/>
          <w:iCs/>
          <w:sz w:val="26"/>
          <w:szCs w:val="26"/>
          <w:highlight w:val="white"/>
        </w:rPr>
        <w:t xml:space="preserve">«</w:t>
      </w:r>
      <w:r>
        <w:rPr>
          <w:b/>
          <w:bCs/>
          <w:i/>
          <w:iCs/>
          <w:sz w:val="22"/>
          <w:szCs w:val="22"/>
          <w:lang w:eastAsia="en-US"/>
        </w:rPr>
        <w:t xml:space="preserve">ОКПД2 38.22.19.000 Оказание услуг по вывозу и утилизации опасных отходов для Хабаровской ТЭЦ-1, г. Хабаровск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/>
          <w:b/>
          <w:bCs/>
          <w:i/>
          <w:sz w:val="22"/>
          <w:szCs w:val="22"/>
          <w:highlight w:val="none"/>
        </w:rPr>
      </w:pPr>
      <w:r>
        <w:rPr>
          <w:rFonts w:eastAsia="Calibri"/>
          <w:b/>
          <w:bCs/>
          <w:i/>
          <w:iCs/>
          <w:sz w:val="26"/>
          <w:szCs w:val="26"/>
          <w:highlight w:val="white"/>
        </w:rPr>
      </w:r>
      <w:r>
        <w:rPr>
          <w:rStyle w:val="1135"/>
          <w:b/>
          <w:bCs/>
          <w:i/>
          <w:iCs/>
          <w:sz w:val="26"/>
          <w:szCs w:val="26"/>
          <w:highlight w:val="white"/>
        </w:rPr>
        <w:t xml:space="preserve">»</w:t>
      </w:r>
      <w:r>
        <w:rPr>
          <w:rFonts w:ascii="Times New Roman" w:hAnsi="Times New Roman"/>
          <w:b/>
          <w:bCs/>
          <w:i/>
          <w:sz w:val="22"/>
          <w:szCs w:val="22"/>
          <w:highlight w:val="none"/>
        </w:rPr>
      </w:r>
      <w:r>
        <w:rPr>
          <w:rFonts w:ascii="Times New Roman" w:hAnsi="Times New Roman"/>
          <w:b/>
          <w:bCs/>
          <w:i/>
          <w:sz w:val="22"/>
          <w:szCs w:val="22"/>
          <w:highlight w:val="none"/>
        </w:rPr>
      </w:r>
    </w:p>
    <w:tbl>
      <w:tblPr>
        <w:tblStyle w:val="1061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1"/>
        <w:gridCol w:w="1893"/>
        <w:gridCol w:w="6736"/>
        <w:gridCol w:w="2945"/>
        <w:gridCol w:w="2722"/>
      </w:tblGrid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7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6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9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73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7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189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673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Исполнитель обязуется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 произвести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вывоз,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транспортирование, утилизацию и обезвреживание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отходов 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 - IV классов опасности</w:t>
            </w:r>
            <w:r>
              <w:rPr>
                <w:sz w:val="22"/>
                <w:szCs w:val="22"/>
                <w:highlight w:val="none"/>
              </w:rPr>
              <w:t xml:space="preserve"> </w:t>
              <w:br/>
            </w:r>
            <w:r>
              <w:rPr>
                <w:sz w:val="22"/>
                <w:szCs w:val="22"/>
                <w:highlight w:val="none"/>
                <w:u w:val="single"/>
              </w:rPr>
              <w:t xml:space="preserve">в количеств</w:t>
            </w:r>
            <w:r>
              <w:rPr>
                <w:sz w:val="22"/>
                <w:szCs w:val="22"/>
                <w:highlight w:val="none"/>
                <w:u w:val="single"/>
              </w:rPr>
              <w:t xml:space="preserve">е </w:t>
            </w:r>
            <w:r>
              <w:rPr>
                <w:sz w:val="22"/>
                <w:szCs w:val="22"/>
                <w:highlight w:val="none"/>
                <w:u w:val="single"/>
              </w:rPr>
              <w:t xml:space="preserve">–80,614</w:t>
            </w:r>
            <w:r>
              <w:rPr>
                <w:sz w:val="22"/>
                <w:szCs w:val="22"/>
                <w:highlight w:val="none"/>
                <w:u w:val="single"/>
              </w:rPr>
              <w:t xml:space="preserve"> 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2945" w:type="dxa"/>
            <w:vMerge w:val="restart"/>
            <w:textDirection w:val="lrTb"/>
            <w:noWrap w:val="false"/>
          </w:tcPr>
          <w:p>
            <w:pPr>
              <w:pStyle w:val="1129"/>
              <w:jc w:val="center"/>
              <w:keepNext w:val="0"/>
              <w:spacing w:before="0"/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Участник должен предоставить в составе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r/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shd w:val="clear" w:color="auto" w:fill="auto"/>
            <w:tcW w:w="2722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18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73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Исполнитель обязуется оказывать услуги </w:t>
            </w:r>
            <w:r>
              <w:rPr>
                <w:sz w:val="22"/>
                <w:szCs w:val="22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вывозу,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транспортированию, утилизации и обезвреживанию отходов 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 - IV классов опас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ности</w:t>
            </w:r>
            <w:r>
              <w:rPr>
                <w:sz w:val="22"/>
                <w:szCs w:val="22"/>
                <w:highlight w:val="white"/>
              </w:rPr>
              <w:t xml:space="preserve"> качественно, </w:t>
            </w:r>
            <w:r>
              <w:rPr>
                <w:sz w:val="22"/>
                <w:szCs w:val="22"/>
                <w:highlight w:val="white"/>
              </w:rPr>
              <w:t xml:space="preserve">в соответствии с санитарными нормами и правилам.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18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736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Исполнитель приобретает и доставляет своими силами и за счет собственных средств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и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нвентар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ь, инструменты, измерительные приборы, оборудование и эксплуатационно-расходные материалы, запасные части и детали оборудования, необходимые для качественного оказания услуг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shd w:val="clear" w:color="auto" w:fill="auto"/>
            <w:tcW w:w="862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auto" w:fill="auto"/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18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Своевременное оказание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trike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Обслуживание должно осуществляться Исполнителем с понедельника по пятницу, в период с 8.00 до 17.00 ч с перерывом на обед с 12.00 до 13.00ч.</w:t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ffffff" w:fill="ffffff"/>
            <w:tcW w:w="2722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19"/>
        </w:trPr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18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7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trike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trike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Исполнитель обязуется осуществлять вывоз на основании официального письменного обращения Заказчика (заявки) в течение двух рабочих дней с момента  получения.</w:t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trike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auto"/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19"/>
        </w:trPr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18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trike w:val="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trike w:val="0"/>
                <w:sz w:val="22"/>
                <w:szCs w:val="22"/>
              </w:rPr>
              <w:t xml:space="preserve">Исполнитель обязуется</w:t>
            </w:r>
            <w:r>
              <w:rPr>
                <w:rFonts w:ascii="Times New Roman" w:hAnsi="Times New Roman" w:eastAsia="Times New Roman" w:cs="Times New Roman"/>
                <w:strike w:val="0"/>
                <w:sz w:val="22"/>
                <w:szCs w:val="22"/>
                <w:highlight w:val="none"/>
              </w:rPr>
              <w:t xml:space="preserve"> своевременно информировать Заказчика о непредвиденных ситуациях.</w:t>
            </w: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trike w:val="0"/>
                <w:sz w:val="22"/>
                <w:szCs w:val="22"/>
                <w:highlight w:val="yellow"/>
              </w:rPr>
            </w:r>
          </w:p>
        </w:tc>
        <w:tc>
          <w:tcPr>
            <w:shd w:val="clear" w:color="ffffff" w:fill="ffffff"/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19"/>
        </w:trPr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18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736" w:type="dxa"/>
            <w:vMerge w:val="restart"/>
            <w:textDirection w:val="lrTb"/>
            <w:noWrap w:val="false"/>
          </w:tcPr>
          <w:p>
            <w:pPr>
              <w:pStyle w:val="1122"/>
              <w:ind w:firstLine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Наличия у персонала Исполнителя при посещении территории предприятия документа удостоверяющего личность (паспорт и / или водительское удостоверение)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19"/>
        </w:trPr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ffffff" w:fill="ffffff"/>
            <w:tcW w:w="189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736" w:type="dxa"/>
            <w:vMerge w:val="restart"/>
            <w:textDirection w:val="lrTb"/>
            <w:noWrap w:val="false"/>
          </w:tcPr>
          <w:p>
            <w:pPr>
              <w:pStyle w:val="1122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Исполнитель должен находиться в г. Хабаровске или прилегающих районах, что является обязательным условием для обеспечения оперативного вывоза отходов по заявке Заказчика.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</w:tc>
        <w:tc>
          <w:tcPr>
            <w:shd w:val="clear" w:color="ffffff" w:fill="ffffff"/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pStyle w:val="1122"/>
              <w:ind w:firstLine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Наличие достаточного количества квалифицированного персонала для оказания данных услуг (грузчиков, водителей, машинисты подъемных сооружений для погрузки в транспортное средство и т.п.).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36" w:type="dxa"/>
            <w:vMerge w:val="restart"/>
            <w:textDirection w:val="lrTb"/>
            <w:noWrap w:val="false"/>
          </w:tcPr>
          <w:p>
            <w:pPr>
              <w:pStyle w:val="1122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Наличие документов подтверждающих прохождение персоналом обучения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в области обращения с отходами производства и потребления.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36" w:type="dxa"/>
            <w:vMerge w:val="restart"/>
            <w:textDirection w:val="lrTb"/>
            <w:noWrap w:val="false"/>
          </w:tcPr>
          <w:p>
            <w:pPr>
              <w:pStyle w:val="1122"/>
              <w:ind w:firstLine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Наличие документов подтверждающих прохождение перс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оналом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en-US"/>
              </w:rPr>
              <w:t xml:space="preserve"> медосмотров и психиатрического освидетельствования.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36" w:type="dxa"/>
            <w:vMerge w:val="restart"/>
            <w:textDirection w:val="lrTb"/>
            <w:noWrap w:val="false"/>
          </w:tcPr>
          <w:p>
            <w:pPr>
              <w:pStyle w:val="1122"/>
              <w:ind w:firstLine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Наличие средств индивидуальной защиты у персонала при посещении территории Заказчика (спецодежды, спецобуви, средств защиты лица и головы, средств защиты рук и т.п.)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Исполнитель обязуется оказывать услуги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вывозу, транспортированию, утилизации и обезвреживанию отходов 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 - IV классов опасности</w:t>
            </w:r>
            <w:r>
              <w:rPr>
                <w:sz w:val="22"/>
                <w:szCs w:val="22"/>
                <w:highlight w:val="none"/>
              </w:rPr>
              <w:t xml:space="preserve"> качественно, в соответствии с санитарными нормами и правилами.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1129"/>
              <w:jc w:val="left"/>
              <w:keepNext w:val="0"/>
              <w:spacing w:before="0"/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использования результата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pStyle w:val="1122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Исполнитель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на территории Заказчика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несет ответственность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за выполнение правил охраны труда, техники безопасности, пожарной безопасности, санит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арно-экологических требований по обращению с отходами производства и потребления, соблюдением требований пропускного и внутриобъектного режимом и другими регламентирующими документами, квалифицированным персоналом, имеющим необходимые допуски и разрешения.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736" w:type="dxa"/>
            <w:vMerge w:val="restart"/>
            <w:textDirection w:val="lrTb"/>
            <w:noWrap w:val="false"/>
          </w:tcPr>
          <w:p>
            <w:pPr>
              <w:pStyle w:val="1122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Работники Исполнителя 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еред началом оказания Услуг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должны пройти вводный инструктаж по охране труда и пожарной безопасности.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rStyle w:val="1135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Завершение оказания услуг оформляется актом оказанных услуг установленной формы пос</w:t>
            </w:r>
            <w:r>
              <w:rPr>
                <w:sz w:val="22"/>
                <w:szCs w:val="22"/>
                <w:highlight w:val="white"/>
              </w:rPr>
              <w:t xml:space="preserve">ле вывоза, транспортировки, </w:t>
            </w:r>
            <w:r>
              <w:rPr>
                <w:sz w:val="22"/>
                <w:szCs w:val="22"/>
                <w:highlight w:val="white"/>
              </w:rPr>
              <w:t xml:space="preserve">утилизации и обезвреживания</w:t>
            </w:r>
            <w:r>
              <w:rPr>
                <w:sz w:val="22"/>
                <w:szCs w:val="22"/>
                <w:highlight w:val="white"/>
              </w:rPr>
              <w:t xml:space="preserve"> отходов.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1129"/>
              <w:jc w:val="left"/>
              <w:keepNext w:val="0"/>
              <w:spacing w:before="0"/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</w:t>
            </w:r>
            <w:r>
              <w:rPr>
                <w:b/>
                <w:sz w:val="24"/>
                <w:szCs w:val="24"/>
              </w:rPr>
              <w:t xml:space="preserve"> документации, определяемой видами услуг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pStyle w:val="1129"/>
              <w:jc w:val="left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pStyle w:val="1122"/>
              <w:ind w:firstLine="0"/>
              <w:jc w:val="both"/>
              <w:rPr>
                <w:bCs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Наличие лицензии на деятельность по сбору, транспортированию, утилизации и обезвреживанию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отходов I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I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 - IV классов опасности согласно приложения 1.</w:t>
            </w:r>
            <w:r>
              <w:rPr>
                <w:bCs/>
                <w:sz w:val="22"/>
                <w:szCs w:val="24"/>
              </w:rPr>
            </w:r>
            <w:r>
              <w:rPr>
                <w:bCs/>
                <w:sz w:val="22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1129"/>
              <w:jc w:val="left"/>
              <w:keepNext w:val="0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Надлежащее качество оказания услуг в полном объеме в соответствии с данным Те</w:t>
            </w:r>
            <w:r>
              <w:rPr>
                <w:sz w:val="22"/>
                <w:szCs w:val="22"/>
              </w:rPr>
              <w:t xml:space="preserve">хническим заданием и действующим законодательством;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spacing w:before="4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Оказание всех услуг в установленные сроки.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vMerge w:val="restart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vMerge w:val="restart"/>
            <w:textDirection w:val="lrTb"/>
            <w:noWrap w:val="false"/>
          </w:tcPr>
          <w:p>
            <w:pPr>
              <w:spacing w:before="4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  <w:tc>
          <w:tcPr>
            <w:tcW w:w="6736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 w:val="0"/>
                <w:iCs w:val="0"/>
                <w:sz w:val="22"/>
                <w:szCs w:val="22"/>
                <w:highlight w:val="none"/>
              </w:rPr>
              <w:t xml:space="preserve">Исполнитель несет ответственность за ущерб, причиненный в ходе оказания Услуг по Договору Заказчику и/или третьим лицам.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72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8629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pStyle w:val="1104"/>
              <w:numPr>
                <w:ilvl w:val="2"/>
                <w:numId w:val="16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189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73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Наличие (в собственности, либо аренде, либо по договору) специализированной техники с различной грузоподъемностью и оборудование (для погрузки , транспортировки и вывоза отходов).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945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722" w:type="dxa"/>
            <w:textDirection w:val="lrTb"/>
            <w:noWrap w:val="false"/>
          </w:tcPr>
          <w:p>
            <w:pPr>
              <w:pStyle w:val="1129"/>
              <w:jc w:val="left"/>
              <w:keepNext w:val="0"/>
              <w:spacing w:before="0"/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eastAsia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</w:tr>
    </w:tbl>
    <w:p>
      <w:pPr>
        <w:jc w:val="center"/>
        <w:rPr>
          <w:b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93"/>
        <w:contextualSpacing/>
        <w:ind w:left="283" w:right="0" w:firstLine="0"/>
        <w:jc w:val="left"/>
        <w:keepLines/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  <w:suppressLineNumbers w:val="0"/>
      </w:pPr>
      <w:r/>
      <w:bookmarkStart w:id="36" w:name="_Toc15"/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Требования к ценообразованию на этапе закупки</w:t>
      </w:r>
      <w:bookmarkEnd w:id="36"/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left="283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4"/>
          <w:szCs w:val="24"/>
        </w:rPr>
        <w:t xml:space="preserve">3.1. В обоснование стоимости своей заявки Участник предоставляет Коммерческое предложение.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83" w:right="0" w:firstLine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iCs/>
          <w:sz w:val="24"/>
          <w:szCs w:val="24"/>
        </w:rPr>
        <w:t xml:space="preserve">3.2. Дополнительные документы по ценообразованию в состав заявки Участника не включаются.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</w:r>
    </w:p>
    <w:p>
      <w:pPr>
        <w:ind w:left="283" w:right="0" w:firstLine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93"/>
        <w:ind w:left="709" w:right="0" w:hanging="360"/>
        <w:rPr>
          <w:rFonts w:ascii="Times New Roman" w:hAnsi="Times New Roman" w:cs="Times New Roman"/>
          <w:sz w:val="24"/>
          <w:szCs w:val="24"/>
        </w:rPr>
      </w:pPr>
      <w:r/>
      <w:bookmarkStart w:id="37" w:name="_Toc16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3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83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83"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4.1. Цена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Договора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формируется на основании перечня стоимости услуг, составленной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Исполнителем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по форме Приложения № 2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. Перечень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стоимости услуг должен учитывать все предполагаемые затраты Исполнителя, обязательные платежи, стоимость всех сопутствующих услуг.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283" w:right="0" w:firstLine="0"/>
        <w:jc w:val="both"/>
        <w:rPr>
          <w:b w:val="0"/>
          <w:bCs w:val="0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4.2.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опустимо учитывать затраты на основании ЛНА Исполнителя.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При составлении перечня стоимости услуг на основании внутреннего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ценообразующего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документа организации расчет должен подтверждаться данным документом  или заверенной руководителем организации и главным бухгалтер</w:t>
      </w:r>
      <w:r>
        <w:rPr>
          <w:b w:val="0"/>
          <w:bCs w:val="0"/>
          <w:sz w:val="24"/>
          <w:szCs w:val="24"/>
        </w:rPr>
        <w:t xml:space="preserve">ом </w:t>
      </w:r>
      <w:r>
        <w:rPr>
          <w:b w:val="0"/>
          <w:bCs w:val="0"/>
          <w:sz w:val="24"/>
          <w:szCs w:val="24"/>
        </w:rPr>
        <w:t xml:space="preserve">выкопировкой</w:t>
      </w:r>
      <w:r>
        <w:rPr>
          <w:b w:val="0"/>
          <w:bCs w:val="0"/>
          <w:sz w:val="24"/>
          <w:szCs w:val="24"/>
        </w:rPr>
        <w:t xml:space="preserve"> из данного документа с отображением учтенных в расчете позиций.</w:t>
      </w:r>
      <w:r>
        <w:rPr>
          <w:b w:val="0"/>
          <w:bCs w:val="0"/>
          <w:sz w:val="24"/>
          <w:szCs w:val="24"/>
          <w:highlight w:val="none"/>
          <w14:ligatures w14:val="none"/>
        </w:rPr>
      </w:r>
      <w:r>
        <w:rPr>
          <w:b w:val="0"/>
          <w:bCs w:val="0"/>
          <w:sz w:val="24"/>
          <w:szCs w:val="24"/>
          <w:highlight w:val="none"/>
          <w14:ligatures w14:val="none"/>
        </w:rPr>
      </w:r>
    </w:p>
    <w:p>
      <w:pPr>
        <w:ind w:left="283" w:right="0" w:firstLine="0"/>
        <w:jc w:val="both"/>
        <w:rPr>
          <w:b w:val="0"/>
          <w:bCs w:val="0"/>
          <w:sz w:val="24"/>
          <w:szCs w:val="24"/>
          <w14:ligatures w14:val="none"/>
        </w:rPr>
      </w:pP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ind w:left="0" w:right="0" w:firstLine="709"/>
        <w:jc w:val="both"/>
        <w:rPr>
          <w:b w:val="0"/>
          <w:bCs w:val="0"/>
          <w:sz w:val="22"/>
          <w:szCs w:val="22"/>
          <w14:ligatures w14:val="none"/>
        </w:rPr>
        <w:sectPr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b w:val="0"/>
          <w:bCs w:val="0"/>
          <w:sz w:val="22"/>
          <w:szCs w:val="22"/>
          <w:highlight w:val="none"/>
          <w14:ligatures w14:val="none"/>
        </w:rPr>
      </w:r>
      <w:r>
        <w:rPr>
          <w:b w:val="0"/>
          <w:bCs w:val="0"/>
          <w:sz w:val="22"/>
          <w:szCs w:val="22"/>
          <w14:ligatures w14:val="none"/>
        </w:rPr>
      </w:r>
      <w:r>
        <w:rPr>
          <w:b w:val="0"/>
          <w:bCs w:val="0"/>
          <w:sz w:val="22"/>
          <w:szCs w:val="22"/>
          <w14:ligatures w14:val="none"/>
        </w:rPr>
      </w:r>
    </w:p>
    <w:p>
      <w:pPr>
        <w:pStyle w:val="893"/>
        <w:contextualSpacing/>
        <w:ind w:left="0" w:firstLine="0"/>
        <w:jc w:val="center"/>
        <w:keepLines/>
        <w:rPr>
          <w:b/>
          <w:bCs/>
          <w:iCs/>
          <w:caps/>
          <w:sz w:val="28"/>
          <w:szCs w:val="28"/>
        </w:rPr>
        <w:suppressLineNumbers w:val="0"/>
      </w:pPr>
      <w:r/>
      <w:bookmarkStart w:id="38" w:name="_Toc17"/>
      <w:r>
        <w:rPr>
          <w:b/>
          <w:bCs/>
          <w:iCs/>
          <w:sz w:val="28"/>
          <w:szCs w:val="28"/>
        </w:rPr>
        <w:t xml:space="preserve">Приложения</w:t>
      </w:r>
      <w:bookmarkEnd w:id="38"/>
      <w:r>
        <w:rPr>
          <w:b/>
          <w:bCs/>
          <w:iCs/>
          <w:sz w:val="28"/>
          <w:szCs w:val="28"/>
        </w:rPr>
        <w:t xml:space="preserve"> к техническим требованиям</w:t>
      </w:r>
      <w:r>
        <w:rPr>
          <w:b/>
          <w:bCs/>
          <w:iCs/>
          <w:caps/>
          <w:sz w:val="28"/>
          <w:szCs w:val="28"/>
        </w:rPr>
      </w:r>
      <w:r>
        <w:rPr>
          <w:b/>
          <w:bCs/>
          <w:iCs/>
          <w:caps/>
          <w:sz w:val="28"/>
          <w:szCs w:val="28"/>
        </w:rPr>
      </w:r>
    </w:p>
    <w:p>
      <w:r/>
      <w:r/>
    </w:p>
    <w:p>
      <w:pPr>
        <w:pStyle w:val="893"/>
        <w:numPr>
          <w:ilvl w:val="0"/>
          <w:numId w:val="0"/>
        </w:numPr>
        <w:ind w:left="0" w:firstLine="0"/>
      </w:pPr>
      <w:r/>
      <w:bookmarkStart w:id="39" w:name="_Toc18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Приложение №1: Спецификация на оказание услуг по вывозу, утилизации, обезвреживанию отходов.</w:t>
      </w:r>
      <w:bookmarkEnd w:id="39"/>
      <w:r/>
      <w:r/>
    </w:p>
    <w:p>
      <w:pPr>
        <w:pStyle w:val="893"/>
        <w:numPr>
          <w:ilvl w:val="0"/>
          <w:numId w:val="0"/>
        </w:numPr>
        <w:ind w:left="0" w:firstLine="0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pPr>
      <w:r/>
      <w:bookmarkStart w:id="0" w:name="undefined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Приложение №2 : Перечень стоимости услуг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.</w:t>
      </w:r>
      <w:bookmarkEnd w:id="0"/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893"/>
        <w:numPr>
          <w:ilvl w:val="0"/>
          <w:numId w:val="0"/>
        </w:numPr>
        <w:ind w:left="0" w:firstLine="0"/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pPr>
      <w:r/>
      <w:bookmarkStart w:id="40" w:name="_Toc19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Приложение №3 :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«Положением о допуске персонала подрядных организаций к выполнению работ на объектах АО «ДГК» 22.1-504-2025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»</w:t>
      </w:r>
      <w:bookmarkEnd w:id="40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893"/>
        <w:numPr>
          <w:ilvl w:val="0"/>
          <w:numId w:val="0"/>
        </w:numPr>
        <w:ind w:left="0" w:firstLine="0"/>
        <w:rPr>
          <w:rStyle w:val="1135"/>
          <w:b w:val="0"/>
          <w:bCs w:val="0"/>
          <w:sz w:val="24"/>
          <w:szCs w:val="24"/>
        </w:rPr>
      </w:pPr>
      <w:r>
        <w:rPr>
          <w:rStyle w:val="1135"/>
          <w:b w:val="0"/>
          <w:iCs/>
          <w:sz w:val="24"/>
          <w:szCs w:val="24"/>
          <w:highlight w:val="none"/>
        </w:rPr>
      </w:r>
      <w:r>
        <w:rPr>
          <w:rStyle w:val="1135"/>
          <w:b w:val="0"/>
          <w:bCs w:val="0"/>
          <w:sz w:val="24"/>
          <w:szCs w:val="24"/>
        </w:rPr>
      </w:r>
      <w:r>
        <w:rPr>
          <w:rStyle w:val="1135"/>
          <w:b w:val="0"/>
          <w:b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jc w:val="right"/>
    </w:pPr>
    <w:fldSimple w:instr="PAGE \* MERGEFORMAT">
      <w:r>
        <w:t xml:space="preserve">1</w:t>
      </w:r>
    </w:fldSimple>
    <w:r/>
    <w:r/>
  </w:p>
  <w:p>
    <w:pPr>
      <w:pStyle w:val="106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jc w:val="right"/>
    </w:pPr>
    <w:fldSimple w:instr="PAGE \* MERGEFORMAT">
      <w:r>
        <w:t xml:space="preserve">1</w:t>
      </w:r>
    </w:fldSimple>
    <w:r/>
    <w:r/>
  </w:p>
  <w:p>
    <w:pPr>
      <w:pStyle w:val="1062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jc w:val="right"/>
    </w:pPr>
    <w:fldSimple w:instr="PAGE \* MERGEFORMAT">
      <w:r>
        <w:t xml:space="preserve">1</w:t>
      </w:r>
    </w:fldSimple>
    <w:r/>
    <w:r/>
  </w:p>
  <w:p>
    <w:pPr>
      <w:pStyle w:val="1062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jc w:val="right"/>
    </w:pPr>
    <w:fldSimple w:instr="PAGE \* MERGEFORMAT">
      <w:r>
        <w:t xml:space="preserve">1</w:t>
      </w:r>
    </w:fldSimple>
    <w:r/>
    <w:r/>
  </w:p>
  <w:p>
    <w:pPr>
      <w:pStyle w:val="10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  <w:rPr>
        <w:rStyle w:val="1071"/>
      </w:rPr>
      <w:framePr w:wrap="around" w:vAnchor="text" w:hAnchor="margin" w:xAlign="center" w:y="1"/>
    </w:pPr>
    <w:r>
      <w:rPr>
        <w:rStyle w:val="1071"/>
      </w:rPr>
      <w:fldChar w:fldCharType="begin"/>
    </w:r>
    <w:r>
      <w:rPr>
        <w:rStyle w:val="1071"/>
      </w:rPr>
      <w:instrText xml:space="preserve">PAGE  </w:instrText>
    </w:r>
    <w:r>
      <w:rPr>
        <w:rStyle w:val="1071"/>
      </w:rPr>
      <w:fldChar w:fldCharType="end"/>
    </w:r>
    <w:r>
      <w:rPr>
        <w:rStyle w:val="1071"/>
      </w:rPr>
    </w:r>
    <w:r>
      <w:rPr>
        <w:rStyle w:val="1071"/>
      </w:rPr>
    </w:r>
  </w:p>
  <w:p>
    <w:pPr>
      <w:pStyle w:val="105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  <w:rPr>
        <w:rStyle w:val="1071"/>
      </w:rPr>
      <w:framePr w:wrap="around" w:vAnchor="text" w:hAnchor="margin" w:xAlign="center" w:y="1"/>
    </w:pPr>
    <w:r>
      <w:rPr>
        <w:rStyle w:val="1071"/>
      </w:rPr>
      <w:fldChar w:fldCharType="begin"/>
    </w:r>
    <w:r>
      <w:rPr>
        <w:rStyle w:val="1071"/>
      </w:rPr>
      <w:instrText xml:space="preserve">PAGE  </w:instrText>
    </w:r>
    <w:r>
      <w:rPr>
        <w:rStyle w:val="1071"/>
      </w:rPr>
      <w:fldChar w:fldCharType="end"/>
    </w:r>
    <w:r>
      <w:rPr>
        <w:rStyle w:val="1071"/>
      </w:rPr>
    </w:r>
    <w:r>
      <w:rPr>
        <w:rStyle w:val="1071"/>
      </w:rPr>
    </w:r>
  </w:p>
  <w:p>
    <w:pPr>
      <w:pStyle w:val="1059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pStyle w:val="893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5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bullet"/>
      <w:pStyle w:val="111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12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11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3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13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4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4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4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multiLevelType w:val="hybridMultilevel"/>
    <w:styleLink w:val="1132"/>
    <w:lvl w:ilvl="0">
      <w:start w:val="1"/>
      <w:numFmt w:val="decimal"/>
      <w:pStyle w:val="113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pStyle w:val="115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styleLink w:val="1128"/>
    <w:lvl w:ilvl="0">
      <w:start w:val="3"/>
      <w:numFmt w:val="decimal"/>
      <w:pStyle w:val="112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pStyle w:val="10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5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2"/>
  </w:num>
  <w:num w:numId="2">
    <w:abstractNumId w:val="16"/>
  </w:num>
  <w:num w:numId="3">
    <w:abstractNumId w:val="28"/>
  </w:num>
  <w:num w:numId="4">
    <w:abstractNumId w:val="3"/>
  </w:num>
  <w:num w:numId="5">
    <w:abstractNumId w:val="20"/>
  </w:num>
  <w:num w:numId="6">
    <w:abstractNumId w:val="19"/>
  </w:num>
  <w:num w:numId="7">
    <w:abstractNumId w:val="24"/>
  </w:num>
  <w:num w:numId="8">
    <w:abstractNumId w:val="36"/>
  </w:num>
  <w:num w:numId="9">
    <w:abstractNumId w:val="22"/>
  </w:num>
  <w:num w:numId="10">
    <w:abstractNumId w:val="26"/>
  </w:num>
  <w:num w:numId="11">
    <w:abstractNumId w:val="30"/>
  </w:num>
  <w:num w:numId="12">
    <w:abstractNumId w:val="8"/>
  </w:num>
  <w:num w:numId="13">
    <w:abstractNumId w:val="33"/>
  </w:num>
  <w:num w:numId="14">
    <w:abstractNumId w:val="23"/>
  </w:num>
  <w:num w:numId="15">
    <w:abstractNumId w:val="4"/>
  </w:num>
  <w:num w:numId="16">
    <w:abstractNumId w:val="1"/>
  </w:num>
  <w:num w:numId="17">
    <w:abstractNumId w:val="12"/>
  </w:num>
  <w:num w:numId="18">
    <w:abstractNumId w:val="5"/>
  </w:num>
  <w:num w:numId="19">
    <w:abstractNumId w:val="18"/>
  </w:num>
  <w:num w:numId="20">
    <w:abstractNumId w:val="25"/>
  </w:num>
  <w:num w:numId="21">
    <w:abstractNumId w:val="10"/>
  </w:num>
  <w:num w:numId="22">
    <w:abstractNumId w:val="6"/>
  </w:num>
  <w:num w:numId="23">
    <w:abstractNumId w:val="15"/>
  </w:num>
  <w:num w:numId="24">
    <w:abstractNumId w:val="7"/>
  </w:num>
  <w:num w:numId="25">
    <w:abstractNumId w:val="14"/>
  </w:num>
  <w:num w:numId="26">
    <w:abstractNumId w:val="29"/>
  </w:num>
  <w:num w:numId="27">
    <w:abstractNumId w:val="27"/>
  </w:num>
  <w:num w:numId="28">
    <w:abstractNumId w:val="31"/>
  </w:num>
  <w:num w:numId="29">
    <w:abstractNumId w:val="2"/>
  </w:num>
  <w:num w:numId="30">
    <w:abstractNumId w:val="34"/>
  </w:num>
  <w:num w:numId="31">
    <w:abstractNumId w:val="35"/>
  </w:num>
  <w:num w:numId="32">
    <w:abstractNumId w:val="0"/>
  </w:num>
  <w:num w:numId="33">
    <w:abstractNumId w:val="21"/>
  </w:num>
  <w:num w:numId="34">
    <w:abstractNumId w:val="9"/>
  </w:num>
  <w:num w:numId="35">
    <w:abstractNumId w:val="11"/>
  </w:num>
  <w:num w:numId="36">
    <w:abstractNumId w:val="13"/>
  </w:num>
  <w:num w:numId="37">
    <w:abstractNumId w:val="17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0">
    <w:name w:val="Title Char"/>
    <w:basedOn w:val="902"/>
    <w:link w:val="914"/>
    <w:uiPriority w:val="10"/>
    <w:rPr>
      <w:sz w:val="48"/>
      <w:szCs w:val="48"/>
    </w:rPr>
  </w:style>
  <w:style w:type="character" w:styleId="891">
    <w:name w:val="Caption Char"/>
    <w:basedOn w:val="1099"/>
    <w:link w:val="1062"/>
    <w:uiPriority w:val="99"/>
  </w:style>
  <w:style w:type="paragraph" w:styleId="892" w:default="1">
    <w:name w:val="Normal"/>
    <w:qFormat/>
    <w:rPr>
      <w:sz w:val="28"/>
      <w:szCs w:val="28"/>
    </w:rPr>
  </w:style>
  <w:style w:type="paragraph" w:styleId="893">
    <w:name w:val="Heading 1"/>
    <w:basedOn w:val="895"/>
    <w:next w:val="892"/>
    <w:link w:val="1091"/>
    <w:qFormat/>
    <w:pPr>
      <w:numPr>
        <w:ilvl w:val="0"/>
      </w:numPr>
      <w:outlineLvl w:val="0"/>
    </w:pPr>
    <w:rPr>
      <w:sz w:val="28"/>
      <w:szCs w:val="28"/>
    </w:rPr>
  </w:style>
  <w:style w:type="paragraph" w:styleId="894">
    <w:name w:val="Heading 2"/>
    <w:basedOn w:val="896"/>
    <w:next w:val="892"/>
    <w:link w:val="1093"/>
    <w:qFormat/>
    <w:pPr>
      <w:outlineLvl w:val="1"/>
    </w:pPr>
  </w:style>
  <w:style w:type="paragraph" w:styleId="895">
    <w:name w:val="Heading 3"/>
    <w:basedOn w:val="892"/>
    <w:next w:val="892"/>
    <w:link w:val="1094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6">
    <w:name w:val="Heading 4"/>
    <w:basedOn w:val="895"/>
    <w:next w:val="892"/>
    <w:link w:val="1095"/>
    <w:qFormat/>
    <w:pPr>
      <w:numPr>
        <w:ilvl w:val="1"/>
      </w:numPr>
      <w:outlineLvl w:val="3"/>
    </w:pPr>
    <w:rPr>
      <w:bCs/>
    </w:rPr>
  </w:style>
  <w:style w:type="paragraph" w:styleId="897">
    <w:name w:val="Heading 5"/>
    <w:basedOn w:val="892"/>
    <w:next w:val="892"/>
    <w:link w:val="109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8">
    <w:name w:val="Heading 6"/>
    <w:basedOn w:val="892"/>
    <w:next w:val="892"/>
    <w:link w:val="108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9">
    <w:name w:val="Heading 7"/>
    <w:basedOn w:val="892"/>
    <w:next w:val="892"/>
    <w:link w:val="108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0">
    <w:name w:val="Heading 8"/>
    <w:basedOn w:val="892"/>
    <w:next w:val="892"/>
    <w:link w:val="109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1">
    <w:name w:val="Heading 9"/>
    <w:basedOn w:val="892"/>
    <w:next w:val="892"/>
    <w:link w:val="109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2" w:default="1">
    <w:name w:val="Default Paragraph Font"/>
    <w:uiPriority w:val="1"/>
    <w:semiHidden/>
    <w:unhideWhenUsed/>
  </w:style>
  <w:style w:type="table" w:styleId="9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4" w:default="1">
    <w:name w:val="No List"/>
    <w:uiPriority w:val="99"/>
    <w:semiHidden/>
    <w:unhideWhenUsed/>
  </w:style>
  <w:style w:type="character" w:styleId="905" w:customStyle="1">
    <w:name w:val="Heading 1 Char"/>
    <w:basedOn w:val="902"/>
    <w:uiPriority w:val="9"/>
    <w:rPr>
      <w:rFonts w:ascii="Arial" w:hAnsi="Arial" w:eastAsia="Arial" w:cs="Arial"/>
      <w:sz w:val="40"/>
      <w:szCs w:val="40"/>
    </w:rPr>
  </w:style>
  <w:style w:type="character" w:styleId="906" w:customStyle="1">
    <w:name w:val="Heading 2 Char"/>
    <w:basedOn w:val="902"/>
    <w:uiPriority w:val="9"/>
    <w:rPr>
      <w:rFonts w:ascii="Arial" w:hAnsi="Arial" w:eastAsia="Arial" w:cs="Arial"/>
      <w:sz w:val="34"/>
    </w:rPr>
  </w:style>
  <w:style w:type="character" w:styleId="907" w:customStyle="1">
    <w:name w:val="Heading 3 Char"/>
    <w:basedOn w:val="902"/>
    <w:uiPriority w:val="9"/>
    <w:rPr>
      <w:rFonts w:ascii="Arial" w:hAnsi="Arial" w:eastAsia="Arial" w:cs="Arial"/>
      <w:sz w:val="30"/>
      <w:szCs w:val="30"/>
    </w:rPr>
  </w:style>
  <w:style w:type="character" w:styleId="908" w:customStyle="1">
    <w:name w:val="Heading 4 Char"/>
    <w:basedOn w:val="902"/>
    <w:uiPriority w:val="9"/>
    <w:rPr>
      <w:rFonts w:ascii="Arial" w:hAnsi="Arial" w:eastAsia="Arial" w:cs="Arial"/>
      <w:b/>
      <w:bCs/>
      <w:sz w:val="26"/>
      <w:szCs w:val="26"/>
    </w:rPr>
  </w:style>
  <w:style w:type="character" w:styleId="909" w:customStyle="1">
    <w:name w:val="Heading 5 Char"/>
    <w:basedOn w:val="902"/>
    <w:uiPriority w:val="9"/>
    <w:rPr>
      <w:rFonts w:ascii="Arial" w:hAnsi="Arial" w:eastAsia="Arial" w:cs="Arial"/>
      <w:b/>
      <w:bCs/>
      <w:sz w:val="24"/>
      <w:szCs w:val="24"/>
    </w:rPr>
  </w:style>
  <w:style w:type="character" w:styleId="910" w:customStyle="1">
    <w:name w:val="Heading 6 Char"/>
    <w:basedOn w:val="902"/>
    <w:uiPriority w:val="9"/>
    <w:rPr>
      <w:rFonts w:ascii="Arial" w:hAnsi="Arial" w:eastAsia="Arial" w:cs="Arial"/>
      <w:b/>
      <w:bCs/>
      <w:sz w:val="22"/>
      <w:szCs w:val="22"/>
    </w:rPr>
  </w:style>
  <w:style w:type="character" w:styleId="911" w:customStyle="1">
    <w:name w:val="Heading 7 Char"/>
    <w:basedOn w:val="9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2" w:customStyle="1">
    <w:name w:val="Heading 8 Char"/>
    <w:basedOn w:val="902"/>
    <w:uiPriority w:val="9"/>
    <w:rPr>
      <w:rFonts w:ascii="Arial" w:hAnsi="Arial" w:eastAsia="Arial" w:cs="Arial"/>
      <w:i/>
      <w:iCs/>
      <w:sz w:val="22"/>
      <w:szCs w:val="22"/>
    </w:rPr>
  </w:style>
  <w:style w:type="character" w:styleId="913" w:customStyle="1">
    <w:name w:val="Heading 9 Char"/>
    <w:basedOn w:val="902"/>
    <w:uiPriority w:val="9"/>
    <w:rPr>
      <w:rFonts w:ascii="Arial" w:hAnsi="Arial" w:eastAsia="Arial" w:cs="Arial"/>
      <w:i/>
      <w:iCs/>
      <w:sz w:val="21"/>
      <w:szCs w:val="21"/>
    </w:rPr>
  </w:style>
  <w:style w:type="paragraph" w:styleId="914">
    <w:name w:val="Title"/>
    <w:basedOn w:val="892"/>
    <w:next w:val="892"/>
    <w:link w:val="9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15" w:customStyle="1">
    <w:name w:val="Заголовок Знак"/>
    <w:basedOn w:val="902"/>
    <w:link w:val="914"/>
    <w:uiPriority w:val="10"/>
    <w:rPr>
      <w:sz w:val="48"/>
      <w:szCs w:val="48"/>
    </w:rPr>
  </w:style>
  <w:style w:type="character" w:styleId="916" w:customStyle="1">
    <w:name w:val="Subtitle Char"/>
    <w:basedOn w:val="902"/>
    <w:uiPriority w:val="11"/>
    <w:rPr>
      <w:sz w:val="24"/>
      <w:szCs w:val="24"/>
    </w:rPr>
  </w:style>
  <w:style w:type="character" w:styleId="917" w:customStyle="1">
    <w:name w:val="Quote Char"/>
    <w:uiPriority w:val="29"/>
    <w:rPr>
      <w:i/>
    </w:rPr>
  </w:style>
  <w:style w:type="character" w:styleId="918" w:customStyle="1">
    <w:name w:val="Intense Quote Char"/>
    <w:uiPriority w:val="30"/>
    <w:rPr>
      <w:i/>
    </w:rPr>
  </w:style>
  <w:style w:type="character" w:styleId="919" w:customStyle="1">
    <w:name w:val="Header Char"/>
    <w:basedOn w:val="902"/>
    <w:uiPriority w:val="99"/>
  </w:style>
  <w:style w:type="character" w:styleId="920" w:customStyle="1">
    <w:name w:val="Footer Char"/>
    <w:basedOn w:val="902"/>
    <w:uiPriority w:val="99"/>
  </w:style>
  <w:style w:type="character" w:styleId="921" w:customStyle="1">
    <w:name w:val="Нижний колонтитул Знак"/>
    <w:link w:val="1062"/>
    <w:uiPriority w:val="99"/>
  </w:style>
  <w:style w:type="table" w:styleId="922" w:customStyle="1">
    <w:name w:val="Table Grid Light"/>
    <w:basedOn w:val="9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23">
    <w:name w:val="Plain Table 1"/>
    <w:basedOn w:val="90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4">
    <w:name w:val="Plain Table 2"/>
    <w:basedOn w:val="90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5">
    <w:name w:val="Plain Table 3"/>
    <w:basedOn w:val="9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6">
    <w:name w:val="Plain Table 4"/>
    <w:basedOn w:val="9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Plain Table 5"/>
    <w:basedOn w:val="90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8">
    <w:name w:val="Grid Table 1 Light"/>
    <w:basedOn w:val="90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Grid Table 1 Light - Accent 1"/>
    <w:basedOn w:val="90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Grid Table 1 Light - Accent 2"/>
    <w:basedOn w:val="90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Grid Table 1 Light - Accent 3"/>
    <w:basedOn w:val="90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4"/>
    <w:basedOn w:val="90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Grid Table 1 Light - Accent 5"/>
    <w:basedOn w:val="90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Grid Table 1 Light - Accent 6"/>
    <w:basedOn w:val="90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2"/>
    <w:basedOn w:val="9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2 - Accent 1"/>
    <w:basedOn w:val="90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2 - Accent 2"/>
    <w:basedOn w:val="90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2 - Accent 3"/>
    <w:basedOn w:val="90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2 - Accent 4"/>
    <w:basedOn w:val="90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2 - Accent 5"/>
    <w:basedOn w:val="90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2 - Accent 6"/>
    <w:basedOn w:val="90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3"/>
    <w:basedOn w:val="90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3 - Accent 1"/>
    <w:basedOn w:val="90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3 - Accent 2"/>
    <w:basedOn w:val="90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3 - Accent 3"/>
    <w:basedOn w:val="90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3 - Accent 4"/>
    <w:basedOn w:val="90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3 - Accent 5"/>
    <w:basedOn w:val="90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3 - Accent 6"/>
    <w:basedOn w:val="90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4"/>
    <w:basedOn w:val="90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0" w:customStyle="1">
    <w:name w:val="Grid Table 4 - Accent 1"/>
    <w:basedOn w:val="903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51" w:customStyle="1">
    <w:name w:val="Grid Table 4 - Accent 2"/>
    <w:basedOn w:val="90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52" w:customStyle="1">
    <w:name w:val="Grid Table 4 - Accent 3"/>
    <w:basedOn w:val="90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53" w:customStyle="1">
    <w:name w:val="Grid Table 4 - Accent 4"/>
    <w:basedOn w:val="90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54" w:customStyle="1">
    <w:name w:val="Grid Table 4 - Accent 5"/>
    <w:basedOn w:val="903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55" w:customStyle="1">
    <w:name w:val="Grid Table 4 - Accent 6"/>
    <w:basedOn w:val="90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56">
    <w:name w:val="Grid Table 5 Dark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57" w:customStyle="1">
    <w:name w:val="Grid Table 5 Dark- Accent 1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58" w:customStyle="1">
    <w:name w:val="Grid Table 5 Dark - Accent 2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59" w:customStyle="1">
    <w:name w:val="Grid Table 5 Dark - Accent 3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60" w:customStyle="1">
    <w:name w:val="Grid Table 5 Dark- Accent 4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61" w:customStyle="1">
    <w:name w:val="Grid Table 5 Dark - Accent 5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62" w:customStyle="1">
    <w:name w:val="Grid Table 5 Dark - Accent 6"/>
    <w:basedOn w:val="90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63">
    <w:name w:val="Grid Table 6 Colorful"/>
    <w:basedOn w:val="90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64" w:customStyle="1">
    <w:name w:val="Grid Table 6 Colorful - Accent 1"/>
    <w:basedOn w:val="903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65" w:customStyle="1">
    <w:name w:val="Grid Table 6 Colorful - Accent 2"/>
    <w:basedOn w:val="90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66" w:customStyle="1">
    <w:name w:val="Grid Table 6 Colorful - Accent 3"/>
    <w:basedOn w:val="90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67" w:customStyle="1">
    <w:name w:val="Grid Table 6 Colorful - Accent 4"/>
    <w:basedOn w:val="90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68" w:customStyle="1">
    <w:name w:val="Grid Table 6 Colorful - Accent 5"/>
    <w:basedOn w:val="903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69" w:customStyle="1">
    <w:name w:val="Grid Table 6 Colorful - Accent 6"/>
    <w:basedOn w:val="90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70">
    <w:name w:val="Grid Table 7 Colorful"/>
    <w:basedOn w:val="90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7 Colorful - Accent 1"/>
    <w:basedOn w:val="903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7 Colorful - Accent 2"/>
    <w:basedOn w:val="90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7 Colorful - Accent 3"/>
    <w:basedOn w:val="90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7 Colorful - Accent 4"/>
    <w:basedOn w:val="90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7 Colorful - Accent 5"/>
    <w:basedOn w:val="903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Grid Table 7 Colorful - Accent 6"/>
    <w:basedOn w:val="90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1 Light"/>
    <w:basedOn w:val="90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1 Light - Accent 1"/>
    <w:basedOn w:val="903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1 Light - Accent 2"/>
    <w:basedOn w:val="903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 - Accent 3"/>
    <w:basedOn w:val="903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4"/>
    <w:basedOn w:val="903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1 Light - Accent 5"/>
    <w:basedOn w:val="903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1 Light - Accent 6"/>
    <w:basedOn w:val="903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2"/>
    <w:basedOn w:val="90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85" w:customStyle="1">
    <w:name w:val="List Table 2 - Accent 1"/>
    <w:basedOn w:val="903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86" w:customStyle="1">
    <w:name w:val="List Table 2 - Accent 2"/>
    <w:basedOn w:val="90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87" w:customStyle="1">
    <w:name w:val="List Table 2 - Accent 3"/>
    <w:basedOn w:val="90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88" w:customStyle="1">
    <w:name w:val="List Table 2 - Accent 4"/>
    <w:basedOn w:val="90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89" w:customStyle="1">
    <w:name w:val="List Table 2 - Accent 5"/>
    <w:basedOn w:val="903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90" w:customStyle="1">
    <w:name w:val="List Table 2 - Accent 6"/>
    <w:basedOn w:val="90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91">
    <w:name w:val="List Table 3"/>
    <w:basedOn w:val="9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3 - Accent 1"/>
    <w:basedOn w:val="903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3 - Accent 2"/>
    <w:basedOn w:val="90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3 - Accent 3"/>
    <w:basedOn w:val="90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4"/>
    <w:basedOn w:val="90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List Table 3 - Accent 5"/>
    <w:basedOn w:val="903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3 - Accent 6"/>
    <w:basedOn w:val="90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4"/>
    <w:basedOn w:val="90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4 - Accent 1"/>
    <w:basedOn w:val="903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4 - Accent 2"/>
    <w:basedOn w:val="90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 - Accent 3"/>
    <w:basedOn w:val="90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4"/>
    <w:basedOn w:val="90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4 - Accent 5"/>
    <w:basedOn w:val="903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4 - Accent 6"/>
    <w:basedOn w:val="90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5 Dark"/>
    <w:basedOn w:val="90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6" w:customStyle="1">
    <w:name w:val="List Table 5 Dark - Accent 1"/>
    <w:basedOn w:val="903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7" w:customStyle="1">
    <w:name w:val="List Table 5 Dark - Accent 2"/>
    <w:basedOn w:val="90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8" w:customStyle="1">
    <w:name w:val="List Table 5 Dark - Accent 3"/>
    <w:basedOn w:val="90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9" w:customStyle="1">
    <w:name w:val="List Table 5 Dark - Accent 4"/>
    <w:basedOn w:val="90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0" w:customStyle="1">
    <w:name w:val="List Table 5 Dark - Accent 5"/>
    <w:basedOn w:val="903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1" w:customStyle="1">
    <w:name w:val="List Table 5 Dark - Accent 6"/>
    <w:basedOn w:val="90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2">
    <w:name w:val="List Table 6 Colorful"/>
    <w:basedOn w:val="90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13" w:customStyle="1">
    <w:name w:val="List Table 6 Colorful - Accent 1"/>
    <w:basedOn w:val="903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14" w:customStyle="1">
    <w:name w:val="List Table 6 Colorful - Accent 2"/>
    <w:basedOn w:val="90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15" w:customStyle="1">
    <w:name w:val="List Table 6 Colorful - Accent 3"/>
    <w:basedOn w:val="90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16" w:customStyle="1">
    <w:name w:val="List Table 6 Colorful - Accent 4"/>
    <w:basedOn w:val="90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17" w:customStyle="1">
    <w:name w:val="List Table 6 Colorful - Accent 5"/>
    <w:basedOn w:val="903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1018" w:customStyle="1">
    <w:name w:val="List Table 6 Colorful - Accent 6"/>
    <w:basedOn w:val="90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19">
    <w:name w:val="List Table 7 Colorful"/>
    <w:basedOn w:val="90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List Table 7 Colorful - Accent 1"/>
    <w:basedOn w:val="903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List Table 7 Colorful - Accent 2"/>
    <w:basedOn w:val="90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List Table 7 Colorful - Accent 3"/>
    <w:basedOn w:val="90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List Table 7 Colorful - Accent 4"/>
    <w:basedOn w:val="90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7 Colorful - Accent 5"/>
    <w:basedOn w:val="903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7 Colorful - Accent 6"/>
    <w:basedOn w:val="90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ned - Accent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7" w:customStyle="1">
    <w:name w:val="Lined - Accent 1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28" w:customStyle="1">
    <w:name w:val="Lined - Accent 2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29" w:customStyle="1">
    <w:name w:val="Lined - Accent 3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30" w:customStyle="1">
    <w:name w:val="Lined - Accent 4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31" w:customStyle="1">
    <w:name w:val="Lined - Accent 5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32" w:customStyle="1">
    <w:name w:val="Lined - Accent 6"/>
    <w:basedOn w:val="90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33" w:customStyle="1">
    <w:name w:val="Bordered &amp; Lined - Accent"/>
    <w:basedOn w:val="90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4" w:customStyle="1">
    <w:name w:val="Bordered &amp; Lined - Accent 1"/>
    <w:basedOn w:val="903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35" w:customStyle="1">
    <w:name w:val="Bordered &amp; Lined - Accent 2"/>
    <w:basedOn w:val="903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36" w:customStyle="1">
    <w:name w:val="Bordered &amp; Lined - Accent 3"/>
    <w:basedOn w:val="903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37" w:customStyle="1">
    <w:name w:val="Bordered &amp; Lined - Accent 4"/>
    <w:basedOn w:val="903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38" w:customStyle="1">
    <w:name w:val="Bordered &amp; Lined - Accent 5"/>
    <w:basedOn w:val="903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39" w:customStyle="1">
    <w:name w:val="Bordered &amp; Lined - Accent 6"/>
    <w:basedOn w:val="903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40" w:customStyle="1">
    <w:name w:val="Bordered"/>
    <w:basedOn w:val="90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1" w:customStyle="1">
    <w:name w:val="Bordered - Accent 1"/>
    <w:basedOn w:val="90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42" w:customStyle="1">
    <w:name w:val="Bordered - Accent 2"/>
    <w:basedOn w:val="90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43" w:customStyle="1">
    <w:name w:val="Bordered - Accent 3"/>
    <w:basedOn w:val="90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44" w:customStyle="1">
    <w:name w:val="Bordered - Accent 4"/>
    <w:basedOn w:val="90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45" w:customStyle="1">
    <w:name w:val="Bordered - Accent 5"/>
    <w:basedOn w:val="90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46" w:customStyle="1">
    <w:name w:val="Bordered - Accent 6"/>
    <w:basedOn w:val="90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47" w:customStyle="1">
    <w:name w:val="Footnote Text Char"/>
    <w:uiPriority w:val="99"/>
    <w:rPr>
      <w:sz w:val="18"/>
    </w:rPr>
  </w:style>
  <w:style w:type="character" w:styleId="1048" w:customStyle="1">
    <w:name w:val="Endnote Text Char"/>
    <w:uiPriority w:val="99"/>
    <w:rPr>
      <w:sz w:val="20"/>
    </w:rPr>
  </w:style>
  <w:style w:type="paragraph" w:styleId="1049">
    <w:name w:val="table of figures"/>
    <w:basedOn w:val="892"/>
    <w:next w:val="892"/>
    <w:uiPriority w:val="99"/>
    <w:unhideWhenUsed/>
  </w:style>
  <w:style w:type="paragraph" w:styleId="1050" w:customStyle="1">
    <w:name w:val="Название раздела инструкции"/>
    <w:basedOn w:val="892"/>
    <w:pPr>
      <w:jc w:val="center"/>
    </w:pPr>
    <w:rPr>
      <w:b/>
    </w:rPr>
  </w:style>
  <w:style w:type="paragraph" w:styleId="1051" w:customStyle="1">
    <w:name w:val="Раздел положения"/>
    <w:basedOn w:val="892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52" w:customStyle="1">
    <w:name w:val="Подраздел раздела положения"/>
    <w:basedOn w:val="892"/>
    <w:pPr>
      <w:numPr>
        <w:ilvl w:val="1"/>
        <w:numId w:val="1"/>
      </w:numPr>
      <w:jc w:val="both"/>
      <w:spacing w:before="80" w:after="80"/>
    </w:pPr>
  </w:style>
  <w:style w:type="paragraph" w:styleId="1053">
    <w:name w:val="footnote text"/>
    <w:basedOn w:val="892"/>
    <w:link w:val="1127"/>
    <w:rPr>
      <w:sz w:val="20"/>
      <w:szCs w:val="20"/>
    </w:rPr>
  </w:style>
  <w:style w:type="character" w:styleId="1054">
    <w:name w:val="footnote reference"/>
    <w:rPr>
      <w:vertAlign w:val="superscript"/>
    </w:rPr>
  </w:style>
  <w:style w:type="paragraph" w:styleId="1055" w:customStyle="1">
    <w:name w:val="Шапка 1"/>
    <w:basedOn w:val="892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56" w:customStyle="1">
    <w:name w:val="Шапка 2"/>
    <w:basedOn w:val="892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57" w:customStyle="1">
    <w:name w:val="Шапка 3"/>
    <w:basedOn w:val="892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58" w:customStyle="1">
    <w:name w:val="Название1"/>
    <w:basedOn w:val="892"/>
    <w:link w:val="1100"/>
    <w:uiPriority w:val="10"/>
    <w:qFormat/>
    <w:pPr>
      <w:jc w:val="center"/>
    </w:pPr>
    <w:rPr>
      <w:szCs w:val="20"/>
    </w:rPr>
  </w:style>
  <w:style w:type="paragraph" w:styleId="1059">
    <w:name w:val="Header"/>
    <w:basedOn w:val="892"/>
    <w:link w:val="1144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60">
    <w:name w:val="Body Text Indent"/>
    <w:basedOn w:val="892"/>
    <w:pPr>
      <w:ind w:left="360"/>
    </w:pPr>
    <w:rPr>
      <w:sz w:val="24"/>
      <w:szCs w:val="24"/>
    </w:rPr>
  </w:style>
  <w:style w:type="table" w:styleId="1061">
    <w:name w:val="Table Grid"/>
    <w:basedOn w:val="903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2">
    <w:name w:val="Footer"/>
    <w:basedOn w:val="892"/>
    <w:link w:val="921"/>
    <w:pPr>
      <w:tabs>
        <w:tab w:val="center" w:pos="4677" w:leader="none"/>
        <w:tab w:val="right" w:pos="9355" w:leader="none"/>
      </w:tabs>
    </w:pPr>
  </w:style>
  <w:style w:type="paragraph" w:styleId="1063">
    <w:name w:val="Body Text"/>
    <w:basedOn w:val="892"/>
    <w:link w:val="1130"/>
    <w:pPr>
      <w:spacing w:after="120"/>
    </w:pPr>
  </w:style>
  <w:style w:type="paragraph" w:styleId="1064">
    <w:name w:val="Body Text Indent 2"/>
    <w:basedOn w:val="892"/>
    <w:pPr>
      <w:ind w:left="283"/>
      <w:spacing w:after="120" w:line="480" w:lineRule="auto"/>
    </w:pPr>
  </w:style>
  <w:style w:type="paragraph" w:styleId="1065">
    <w:name w:val="Body Text 3"/>
    <w:basedOn w:val="892"/>
    <w:pPr>
      <w:spacing w:after="120"/>
    </w:pPr>
    <w:rPr>
      <w:sz w:val="16"/>
      <w:szCs w:val="16"/>
    </w:rPr>
  </w:style>
  <w:style w:type="paragraph" w:styleId="1066">
    <w:name w:val="Body Text Indent 3"/>
    <w:basedOn w:val="892"/>
    <w:pPr>
      <w:ind w:left="283"/>
      <w:spacing w:after="120"/>
    </w:pPr>
    <w:rPr>
      <w:sz w:val="16"/>
      <w:szCs w:val="16"/>
    </w:rPr>
  </w:style>
  <w:style w:type="paragraph" w:styleId="1067">
    <w:name w:val="Body Text 2"/>
    <w:basedOn w:val="892"/>
    <w:pPr>
      <w:spacing w:after="120" w:line="480" w:lineRule="auto"/>
    </w:pPr>
  </w:style>
  <w:style w:type="paragraph" w:styleId="1068">
    <w:name w:val="Block Text"/>
    <w:basedOn w:val="892"/>
    <w:pPr>
      <w:ind w:left="-567" w:right="-766"/>
      <w:jc w:val="center"/>
    </w:pPr>
    <w:rPr>
      <w:b/>
      <w:bCs/>
      <w:sz w:val="24"/>
      <w:szCs w:val="20"/>
    </w:rPr>
  </w:style>
  <w:style w:type="paragraph" w:styleId="1069" w:customStyle="1">
    <w:name w:val="Подпункт"/>
    <w:basedOn w:val="892"/>
    <w:link w:val="112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70" w:customStyle="1">
    <w:name w:val="Пункт2"/>
    <w:basedOn w:val="892"/>
    <w:link w:val="115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71">
    <w:name w:val="page number"/>
    <w:basedOn w:val="902"/>
  </w:style>
  <w:style w:type="paragraph" w:styleId="1072">
    <w:name w:val="toc 1"/>
    <w:basedOn w:val="892"/>
    <w:next w:val="892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73">
    <w:name w:val="toc 3"/>
    <w:basedOn w:val="892"/>
    <w:next w:val="892"/>
    <w:uiPriority w:val="39"/>
    <w:pPr>
      <w:ind w:left="280"/>
    </w:pPr>
    <w:rPr>
      <w:rFonts w:cstheme="minorHAnsi"/>
      <w:sz w:val="20"/>
      <w:szCs w:val="20"/>
    </w:rPr>
  </w:style>
  <w:style w:type="character" w:styleId="1074">
    <w:name w:val="Hyperlink"/>
    <w:uiPriority w:val="99"/>
    <w:rPr>
      <w:color w:val="0000ff"/>
      <w:u w:val="single"/>
    </w:rPr>
  </w:style>
  <w:style w:type="paragraph" w:styleId="1075" w:customStyle="1">
    <w:name w:val="Раздел регламента"/>
    <w:basedOn w:val="892"/>
  </w:style>
  <w:style w:type="paragraph" w:styleId="1076" w:customStyle="1">
    <w:name w:val="Приложение к регламенту"/>
    <w:basedOn w:val="892"/>
    <w:pPr>
      <w:jc w:val="right"/>
    </w:pPr>
  </w:style>
  <w:style w:type="paragraph" w:styleId="1077">
    <w:name w:val="toc 2"/>
    <w:basedOn w:val="892"/>
    <w:next w:val="892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078">
    <w:name w:val="Balloon Text"/>
    <w:basedOn w:val="892"/>
    <w:semiHidden/>
    <w:rPr>
      <w:rFonts w:ascii="Tahoma" w:hAnsi="Tahoma" w:cs="Tahoma"/>
      <w:sz w:val="16"/>
      <w:szCs w:val="16"/>
    </w:rPr>
  </w:style>
  <w:style w:type="character" w:styleId="1079">
    <w:name w:val="annotation reference"/>
    <w:semiHidden/>
    <w:rPr>
      <w:sz w:val="16"/>
      <w:szCs w:val="16"/>
    </w:rPr>
  </w:style>
  <w:style w:type="paragraph" w:styleId="1080">
    <w:name w:val="annotation text"/>
    <w:basedOn w:val="892"/>
    <w:link w:val="1145"/>
    <w:semiHidden/>
    <w:rPr>
      <w:sz w:val="20"/>
      <w:szCs w:val="20"/>
    </w:rPr>
  </w:style>
  <w:style w:type="paragraph" w:styleId="1081">
    <w:name w:val="annotation subject"/>
    <w:basedOn w:val="1080"/>
    <w:next w:val="1080"/>
    <w:semiHidden/>
    <w:rPr>
      <w:b/>
      <w:bCs/>
    </w:rPr>
  </w:style>
  <w:style w:type="paragraph" w:styleId="1082" w:customStyle="1">
    <w:name w:val="Обычный (веб)1"/>
    <w:basedOn w:val="892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83">
    <w:name w:val="toc 9"/>
    <w:basedOn w:val="892"/>
    <w:next w:val="892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84">
    <w:name w:val="toc 5"/>
    <w:basedOn w:val="892"/>
    <w:next w:val="892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85">
    <w:name w:val="toc 4"/>
    <w:basedOn w:val="892"/>
    <w:next w:val="892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086" w:customStyle="1">
    <w:name w:val="Раздел положения 2"/>
    <w:basedOn w:val="892"/>
    <w:pPr>
      <w:jc w:val="both"/>
      <w:pageBreakBefore/>
      <w:outlineLvl w:val="0"/>
    </w:pPr>
    <w:rPr>
      <w:b/>
    </w:rPr>
  </w:style>
  <w:style w:type="character" w:styleId="1087">
    <w:name w:val="Strong"/>
    <w:uiPriority w:val="22"/>
    <w:qFormat/>
    <w:rPr>
      <w:b/>
      <w:bCs/>
    </w:rPr>
  </w:style>
  <w:style w:type="character" w:styleId="1088" w:customStyle="1">
    <w:name w:val="Заголовок 6 Знак"/>
    <w:link w:val="898"/>
    <w:uiPriority w:val="9"/>
    <w:rPr>
      <w:rFonts w:ascii="Cambria" w:hAnsi="Cambria"/>
      <w:i/>
      <w:iCs/>
      <w:color w:val="243f60"/>
    </w:rPr>
  </w:style>
  <w:style w:type="character" w:styleId="1089" w:customStyle="1">
    <w:name w:val="Заголовок 7 Знак"/>
    <w:link w:val="899"/>
    <w:uiPriority w:val="9"/>
    <w:rPr>
      <w:rFonts w:ascii="Cambria" w:hAnsi="Cambria"/>
      <w:i/>
      <w:iCs/>
      <w:color w:val="404040"/>
    </w:rPr>
  </w:style>
  <w:style w:type="character" w:styleId="1090" w:customStyle="1">
    <w:name w:val="Заголовок 8 Знак"/>
    <w:link w:val="900"/>
    <w:uiPriority w:val="9"/>
    <w:rPr>
      <w:rFonts w:ascii="Cambria" w:hAnsi="Cambria"/>
      <w:color w:val="4f81bd"/>
    </w:rPr>
  </w:style>
  <w:style w:type="character" w:styleId="1091" w:customStyle="1">
    <w:name w:val="Заголовок 1 Знак"/>
    <w:link w:val="893"/>
    <w:rPr>
      <w:rFonts w:eastAsia="Calibri"/>
      <w:b/>
      <w:sz w:val="28"/>
      <w:szCs w:val="28"/>
    </w:rPr>
  </w:style>
  <w:style w:type="paragraph" w:styleId="1092" w:customStyle="1">
    <w:name w:val="Знак Знак Знак Знак Знак Знак Знак Знак Знак"/>
    <w:basedOn w:val="89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93" w:customStyle="1">
    <w:name w:val="Заголовок 2 Знак"/>
    <w:link w:val="894"/>
    <w:rPr>
      <w:rFonts w:eastAsia="Calibri"/>
      <w:b/>
      <w:bCs/>
      <w:sz w:val="24"/>
      <w:szCs w:val="24"/>
    </w:rPr>
  </w:style>
  <w:style w:type="character" w:styleId="1094" w:customStyle="1">
    <w:name w:val="Заголовок 3 Знак"/>
    <w:link w:val="895"/>
    <w:rPr>
      <w:rFonts w:eastAsia="Calibri"/>
      <w:b/>
      <w:sz w:val="24"/>
      <w:szCs w:val="24"/>
    </w:rPr>
  </w:style>
  <w:style w:type="character" w:styleId="1095" w:customStyle="1">
    <w:name w:val="Заголовок 4 Знак"/>
    <w:link w:val="896"/>
    <w:rPr>
      <w:rFonts w:eastAsia="Calibri"/>
      <w:b/>
      <w:bCs/>
      <w:sz w:val="24"/>
      <w:szCs w:val="24"/>
    </w:rPr>
  </w:style>
  <w:style w:type="character" w:styleId="1096" w:customStyle="1">
    <w:name w:val="Заголовок 5 Знак"/>
    <w:link w:val="897"/>
    <w:uiPriority w:val="9"/>
    <w:rPr>
      <w:b/>
      <w:bCs/>
      <w:i/>
      <w:iCs/>
      <w:sz w:val="26"/>
      <w:szCs w:val="26"/>
    </w:rPr>
  </w:style>
  <w:style w:type="character" w:styleId="1097" w:customStyle="1">
    <w:name w:val="Заголовок 9 Знак"/>
    <w:link w:val="901"/>
    <w:uiPriority w:val="9"/>
    <w:rPr>
      <w:rFonts w:ascii="Arial" w:hAnsi="Arial" w:cs="Arial"/>
      <w:sz w:val="22"/>
      <w:szCs w:val="22"/>
    </w:rPr>
  </w:style>
  <w:style w:type="paragraph" w:styleId="1098">
    <w:name w:val="No Spacing"/>
    <w:basedOn w:val="892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99">
    <w:name w:val="Caption"/>
    <w:basedOn w:val="892"/>
    <w:next w:val="892"/>
    <w:link w:val="89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100" w:customStyle="1">
    <w:name w:val="Название Знак"/>
    <w:link w:val="1058"/>
    <w:uiPriority w:val="10"/>
    <w:rPr>
      <w:sz w:val="28"/>
    </w:rPr>
  </w:style>
  <w:style w:type="paragraph" w:styleId="1101">
    <w:name w:val="Subtitle"/>
    <w:basedOn w:val="892"/>
    <w:next w:val="892"/>
    <w:link w:val="110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102" w:customStyle="1">
    <w:name w:val="Подзаголовок Знак"/>
    <w:link w:val="110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103">
    <w:name w:val="Emphasis"/>
    <w:uiPriority w:val="20"/>
    <w:qFormat/>
    <w:rPr>
      <w:i/>
      <w:iCs/>
    </w:rPr>
  </w:style>
  <w:style w:type="paragraph" w:styleId="1104">
    <w:name w:val="List Paragraph"/>
    <w:basedOn w:val="892"/>
    <w:link w:val="113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105">
    <w:name w:val="Quote"/>
    <w:basedOn w:val="892"/>
    <w:next w:val="892"/>
    <w:link w:val="110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106" w:customStyle="1">
    <w:name w:val="Цитата 2 Знак"/>
    <w:link w:val="1105"/>
    <w:uiPriority w:val="29"/>
    <w:rPr>
      <w:rFonts w:ascii="Calibri" w:hAnsi="Calibri" w:eastAsia="Calibri"/>
      <w:i/>
      <w:iCs/>
      <w:color w:val="000000"/>
    </w:rPr>
  </w:style>
  <w:style w:type="paragraph" w:styleId="1107">
    <w:name w:val="Intense Quote"/>
    <w:basedOn w:val="892"/>
    <w:next w:val="892"/>
    <w:link w:val="110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108" w:customStyle="1">
    <w:name w:val="Выделенная цитата Знак"/>
    <w:link w:val="1107"/>
    <w:uiPriority w:val="30"/>
    <w:rPr>
      <w:rFonts w:ascii="Calibri" w:hAnsi="Calibri" w:eastAsia="Calibri"/>
      <w:b/>
      <w:bCs/>
      <w:i/>
      <w:iCs/>
      <w:color w:val="4f81bd"/>
    </w:rPr>
  </w:style>
  <w:style w:type="character" w:styleId="1109">
    <w:name w:val="Subtle Emphasis"/>
    <w:uiPriority w:val="19"/>
    <w:qFormat/>
    <w:rPr>
      <w:i/>
      <w:iCs/>
      <w:color w:val="808080"/>
    </w:rPr>
  </w:style>
  <w:style w:type="character" w:styleId="1110">
    <w:name w:val="Intense Emphasis"/>
    <w:uiPriority w:val="21"/>
    <w:qFormat/>
    <w:rPr>
      <w:b/>
      <w:bCs/>
      <w:i/>
      <w:iCs/>
      <w:color w:val="4f81bd"/>
    </w:rPr>
  </w:style>
  <w:style w:type="character" w:styleId="1111">
    <w:name w:val="Subtle Reference"/>
    <w:uiPriority w:val="31"/>
    <w:qFormat/>
    <w:rPr>
      <w:smallCaps/>
      <w:color w:val="c0504d"/>
      <w:u w:val="single"/>
    </w:rPr>
  </w:style>
  <w:style w:type="character" w:styleId="111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113">
    <w:name w:val="Book Title"/>
    <w:uiPriority w:val="33"/>
    <w:qFormat/>
    <w:rPr>
      <w:b/>
      <w:bCs/>
      <w:smallCaps/>
      <w:spacing w:val="5"/>
    </w:rPr>
  </w:style>
  <w:style w:type="paragraph" w:styleId="1114">
    <w:name w:val="TOC Heading"/>
    <w:basedOn w:val="893"/>
    <w:next w:val="892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115">
    <w:name w:val="E-mail Signature"/>
    <w:basedOn w:val="892"/>
    <w:link w:val="1116"/>
    <w:uiPriority w:val="99"/>
    <w:unhideWhenUsed/>
    <w:rPr>
      <w:rFonts w:eastAsia="Calibri"/>
      <w:sz w:val="24"/>
      <w:szCs w:val="24"/>
    </w:rPr>
  </w:style>
  <w:style w:type="character" w:styleId="1116" w:customStyle="1">
    <w:name w:val="Электронная подпись Знак"/>
    <w:link w:val="1115"/>
    <w:uiPriority w:val="99"/>
    <w:rPr>
      <w:rFonts w:eastAsia="Calibri"/>
      <w:sz w:val="24"/>
      <w:szCs w:val="24"/>
    </w:rPr>
  </w:style>
  <w:style w:type="paragraph" w:styleId="1117" w:customStyle="1">
    <w:name w:val="Знак"/>
    <w:basedOn w:val="8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8" w:customStyle="1">
    <w:name w:val="Нумерованный список ур3"/>
    <w:basedOn w:val="892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119" w:customStyle="1">
    <w:name w:val="Нумерованный список 1"/>
    <w:basedOn w:val="892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20" w:customStyle="1">
    <w:name w:val="Нумерованный список ур2"/>
    <w:basedOn w:val="892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21">
    <w:name w:val="Revision"/>
    <w:hidden/>
    <w:uiPriority w:val="99"/>
    <w:semiHidden/>
    <w:rPr>
      <w:rFonts w:eastAsia="Calibri"/>
      <w:sz w:val="24"/>
      <w:szCs w:val="24"/>
    </w:rPr>
  </w:style>
  <w:style w:type="paragraph" w:styleId="112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123" w:customStyle="1">
    <w:name w:val="Знак Знак3 Знак Знак"/>
    <w:basedOn w:val="89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24" w:customStyle="1">
    <w:name w:val="Пункт"/>
    <w:basedOn w:val="892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125" w:customStyle="1">
    <w:name w:val="Подпункт Знак1"/>
    <w:link w:val="1069"/>
    <w:rPr>
      <w:sz w:val="28"/>
    </w:rPr>
  </w:style>
  <w:style w:type="paragraph" w:styleId="1126" w:customStyle="1">
    <w:name w:val="Абзац списка1"/>
    <w:basedOn w:val="892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127" w:customStyle="1">
    <w:name w:val="Текст сноски Знак"/>
    <w:link w:val="1053"/>
  </w:style>
  <w:style w:type="numbering" w:styleId="1128" w:customStyle="1">
    <w:name w:val="Стиль1"/>
    <w:uiPriority w:val="99"/>
    <w:pPr>
      <w:numPr>
        <w:ilvl w:val="0"/>
        <w:numId w:val="3"/>
      </w:numPr>
    </w:pPr>
  </w:style>
  <w:style w:type="paragraph" w:styleId="1129" w:customStyle="1">
    <w:name w:val="Таблица"/>
    <w:basedOn w:val="892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130" w:customStyle="1">
    <w:name w:val="Основной текст Знак"/>
    <w:link w:val="1063"/>
    <w:rPr>
      <w:sz w:val="28"/>
      <w:szCs w:val="28"/>
    </w:rPr>
  </w:style>
  <w:style w:type="character" w:styleId="1131" w:customStyle="1">
    <w:name w:val="blk"/>
  </w:style>
  <w:style w:type="numbering" w:styleId="1132" w:customStyle="1">
    <w:name w:val="Стиль2"/>
    <w:uiPriority w:val="99"/>
    <w:pPr>
      <w:numPr>
        <w:ilvl w:val="0"/>
        <w:numId w:val="5"/>
      </w:numPr>
    </w:pPr>
  </w:style>
  <w:style w:type="paragraph" w:styleId="1133" w:customStyle="1">
    <w:name w:val="Таблица шапка"/>
    <w:basedOn w:val="892"/>
    <w:pPr>
      <w:ind w:left="57" w:right="57"/>
      <w:keepNext/>
      <w:spacing w:before="40" w:after="40"/>
    </w:pPr>
    <w:rPr>
      <w:sz w:val="22"/>
      <w:szCs w:val="26"/>
    </w:rPr>
  </w:style>
  <w:style w:type="character" w:styleId="1134" w:customStyle="1">
    <w:name w:val="Абзац списка Знак"/>
    <w:link w:val="1104"/>
    <w:uiPriority w:val="34"/>
    <w:rPr>
      <w:rFonts w:eastAsia="Calibri"/>
      <w:sz w:val="24"/>
      <w:szCs w:val="24"/>
    </w:rPr>
  </w:style>
  <w:style w:type="character" w:styleId="1135" w:customStyle="1">
    <w:name w:val="комментарий"/>
    <w:rPr>
      <w:b/>
      <w:i/>
      <w:shd w:val="clear" w:color="auto" w:fill="ffff99"/>
    </w:rPr>
  </w:style>
  <w:style w:type="paragraph" w:styleId="1136" w:customStyle="1">
    <w:name w:val="Подподпункт"/>
    <w:basedOn w:val="1069"/>
    <w:link w:val="113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137" w:customStyle="1">
    <w:name w:val="Подподпункт Знак"/>
    <w:link w:val="1136"/>
    <w:rPr>
      <w:sz w:val="26"/>
      <w:szCs w:val="26"/>
    </w:rPr>
  </w:style>
  <w:style w:type="paragraph" w:styleId="1138" w:customStyle="1">
    <w:name w:val="УРОВЕНЬ_(а)"/>
    <w:basedOn w:val="110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139" w:customStyle="1">
    <w:name w:val="УРОВЕНЬ_-"/>
    <w:basedOn w:val="110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40" w:customStyle="1">
    <w:name w:val="УРОВЕНЬ_Абзац_тип2"/>
    <w:basedOn w:val="110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41" w:customStyle="1">
    <w:name w:val="УРОВЕНЬ_Абзац_тип3"/>
    <w:basedOn w:val="1104"/>
    <w:link w:val="114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42" w:customStyle="1">
    <w:name w:val="УРОВЕНЬ_Подпись"/>
    <w:basedOn w:val="110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43" w:customStyle="1">
    <w:name w:val="УРОВЕНЬ_Абзац_тип3 Знак"/>
    <w:link w:val="1141"/>
    <w:rPr>
      <w:rFonts w:eastAsia="Calibri"/>
      <w:sz w:val="26"/>
      <w:szCs w:val="28"/>
      <w:lang w:eastAsia="en-US"/>
    </w:rPr>
  </w:style>
  <w:style w:type="character" w:styleId="1144" w:customStyle="1">
    <w:name w:val="Верхний колонтитул Знак"/>
    <w:link w:val="1059"/>
    <w:uiPriority w:val="99"/>
    <w:rPr>
      <w:sz w:val="24"/>
      <w:szCs w:val="24"/>
    </w:rPr>
  </w:style>
  <w:style w:type="character" w:styleId="1145" w:customStyle="1">
    <w:name w:val="Текст примечания Знак"/>
    <w:link w:val="1080"/>
    <w:semiHidden/>
  </w:style>
  <w:style w:type="paragraph" w:styleId="1146" w:customStyle="1">
    <w:name w:val="Стиль Заголовок 1 + по ширине"/>
    <w:basedOn w:val="893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47">
    <w:name w:val="endnote text"/>
    <w:basedOn w:val="892"/>
    <w:link w:val="1148"/>
    <w:rPr>
      <w:sz w:val="20"/>
      <w:szCs w:val="20"/>
    </w:rPr>
  </w:style>
  <w:style w:type="character" w:styleId="1148" w:customStyle="1">
    <w:name w:val="Текст концевой сноски Знак"/>
    <w:basedOn w:val="902"/>
    <w:link w:val="1147"/>
  </w:style>
  <w:style w:type="character" w:styleId="1149">
    <w:name w:val="endnote reference"/>
    <w:basedOn w:val="902"/>
    <w:rPr>
      <w:vertAlign w:val="superscript"/>
    </w:rPr>
  </w:style>
  <w:style w:type="paragraph" w:styleId="1150" w:customStyle="1">
    <w:name w:val="Заголовок 2 КВВ"/>
    <w:basedOn w:val="892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51" w:customStyle="1">
    <w:name w:val="Пункт2 Знак"/>
    <w:link w:val="1070"/>
    <w:rPr>
      <w:b/>
      <w:sz w:val="28"/>
    </w:rPr>
  </w:style>
  <w:style w:type="paragraph" w:styleId="1152" w:customStyle="1">
    <w:name w:val="Таблица текст"/>
    <w:basedOn w:val="892"/>
    <w:pPr>
      <w:ind w:left="57" w:right="57"/>
      <w:spacing w:before="40" w:after="40"/>
    </w:pPr>
    <w:rPr>
      <w:sz w:val="24"/>
      <w:szCs w:val="26"/>
    </w:rPr>
  </w:style>
  <w:style w:type="paragraph" w:styleId="1153">
    <w:name w:val="Normal (Web)"/>
    <w:basedOn w:val="89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54" w:customStyle="1">
    <w:name w:val="УРОВЕНЬ_1."/>
    <w:basedOn w:val="1104"/>
    <w:link w:val="115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55" w:customStyle="1">
    <w:name w:val="УРОВЕНЬ_1. Знак"/>
    <w:link w:val="1154"/>
    <w:rPr>
      <w:rFonts w:eastAsia="Calibri"/>
      <w:caps/>
      <w:sz w:val="28"/>
      <w:szCs w:val="28"/>
      <w:lang w:eastAsia="en-US"/>
    </w:rPr>
  </w:style>
  <w:style w:type="table" w:styleId="1156" w:customStyle="1">
    <w:name w:val="Сетка таблицы1"/>
    <w:basedOn w:val="903"/>
    <w:next w:val="106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57">
    <w:name w:val="toc 6"/>
    <w:basedOn w:val="892"/>
    <w:next w:val="892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58">
    <w:name w:val="toc 7"/>
    <w:basedOn w:val="892"/>
    <w:next w:val="892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59">
    <w:name w:val="toc 8"/>
    <w:basedOn w:val="892"/>
    <w:next w:val="892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160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1161" w:customStyle="1">
    <w:name w:val="Обычный"/>
    <w:next w:val="963"/>
    <w:link w:val="96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62" w:customStyle="1">
    <w:name w:val=".FORMATTEXT"/>
    <w:uiPriority w:val="99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cs="Arial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nikitina_nv</cp:lastModifiedBy>
  <cp:revision>63</cp:revision>
  <dcterms:created xsi:type="dcterms:W3CDTF">2021-04-04T11:05:00Z</dcterms:created>
  <dcterms:modified xsi:type="dcterms:W3CDTF">2026-07-15T23:56:34Z</dcterms:modified>
</cp:coreProperties>
</file>